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1B70A" Type="http://schemas.openxmlformats.org/officeDocument/2006/relationships/officeDocument" Target="/word/document.xml" /><Relationship Id="coreR451B70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rPr>
          <w:rFonts w:ascii="Times New Roman" w:hAnsi="Times New Roman"/>
          <w:sz w:val="22"/>
        </w:rPr>
      </w:pP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Objaśnienia przyjętych wartości do Wieloletniej Prognozy Finansowej Miasta i Gminy Górzno na lata 2026-2035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ze zmianami w budżecie na dzień 29 stycznia 2026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1.Dochody ogółem zwiększono o 1 927 740,30 zł, z czego dochody bieżące zwiększono o 150 983,60 zł, a dochody majątkowe zwiększono o 1 776 756,70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2.Wydatki ogółem zwiększono o 2 159 540,01 zł, z czego wydatki bieżące zwiększono o 364 238,01 zł, a wydatki majątkowe zwiększono o 1 795 302,00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3.Wynik budżetu jest deficytowy i po zmianach wynosi -5 765 816,80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auto"/>
          <w:sz w:val="22"/>
          <w:u w:val="none"/>
          <w:vertAlign w:val="baseline"/>
        </w:rPr>
        <w:t>Zmiany w dochodach i wydatkach w 2026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Dochody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31 558 122,22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+1 927 740,30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33 485 862,52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Dochody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31 404 756,86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+150 983,60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31 555 740,46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Dotacje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2 967 550,48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+150 983,60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3 118 534,08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Dochody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153 365,36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+1 776 756,70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1 930 122,06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Wydatki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37 092 139,31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+2 159 540,01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39 251 679,32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29 679 910,31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+364 238,01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30 044 148,32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Obsługa długu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340 000,00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+177 932,45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517 932,45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Pozostałe 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17 798 844,43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+186 305,56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17 985 149,99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Wydatki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7 412 229,00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+1 795 302,00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9 207 531,00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Wynik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-5 534 017,09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-231 799,71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-5 765 816,80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1.Przychody ogółem w roku budżetowym zwiększono o 231 799,71 zł i po zmianach wynoszą 6 284 816,80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przychodach i rozchodach na 2026 rok.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Przychody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6 053 017,09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+231 799,71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6 284 816,80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budżetowa z lat ubiegłych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+61 544,01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61 544,01</w:t>
            </w:r>
          </w:p>
        </w:tc>
      </w:tr>
      <w:tr>
        <w:tblPrEx>
          <w:tblW w:w="5000" w:type="pct"/>
          <w:tblLayout w:type="fixed"/>
        </w:tblPrEx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Wolne środki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4 053 017,09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+170 255,70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4 223 272,79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Wieloletniej Prognozie Finansowej Miasta i Gminy Górzno na lata 2026-2035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się relacji z art. 243 ust. 1 ustawy o finansach publicznych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Rok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Obsługa zadłużenia (fakt. i plan. po wyłączeniach)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Maksymalna obsługa zadłużenia (wg planu po III kwartale)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Zachowanie relacji z art. 243 (w oparciu o plan po III kwartale)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Maksymalna obsługa zadłużenia (wg wykonania)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3,36%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12,20%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12,20%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2,73%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11,86%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11,86%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3,01%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11,46%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11,46%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2,84%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10,48%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10,48%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2,90%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8,72%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8,72%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2,64%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8,22%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8,22%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3,09%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8,00%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8,00%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2,88%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7,79%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7,79%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2,47%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7,69%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7,69%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1,50%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7,58%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7,58%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w tabeli powyżej wskazują, że w całym okresie prognozy Miasto i Gmina Górzno spełnia relację, o której mowa w art. 243 ust. 1 ustawy o finansach publicznych. Spełnienie dotyczy zarówno relacji obliczonej na podstawie planu na dzień 30.09.2025 r. jak i w oparciu o kolumnę „2025 przewidywane wykonanie”.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obrazuje załącznik nr 1 do niniejszej uchwały.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2026-02-02T12:44:10Z</dcterms:created>
  <cp:lastModifiedBy>JaroszewskaM</cp:lastModifiedBy>
  <dcterms:modified xsi:type="dcterms:W3CDTF">2026-02-04T11:23:17Z</dcterms:modified>
  <cp:revision>5</cp:revision>
  <dc:subject>w sprawie zmiany Wieloletniej Prognozy Finansowej Miasta i Gminy Górzno na lata 2026-2035</dc:subject>
  <dc:title>Uchwała nr  XXI/137/2026 z dnia 29 stycznia 2026 r.</dc:title>
</cp:coreProperties>
</file>