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0F3DDFC" Type="http://schemas.openxmlformats.org/officeDocument/2006/relationships/officeDocument" Target="/word/document.xml" /><Relationship Id="coreR30F3DDF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„Zapewnienie uczniom prawa do bezpłatnego dostępu do podręczników, materiałów edukacyjnych lub materiałów ćwiczeniowych” w ramach paragrafu „Zwrot dotacji oraz płatności wykorzystanych niezgodnie z przeznaczeniem lub wykorzystanych z naruszeniem procedur, o których mowa w art. 184 ustawy, pobranych nienależnie lub w nadmiernej wysokości” wprowadza się wydatki w kwocie 333,63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„Dowożenie uczniów do szkół” w ramach paragrafu „Odpisy na zakładowy fundusz świadczeń socjalnych” zmniejsza się wydatki o 333,63 zł do kwoty 8 415,95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2026-02-24T12:22:41Z</dcterms:created>
  <cp:lastModifiedBy>JaroszewskaM</cp:lastModifiedBy>
  <dcterms:modified xsi:type="dcterms:W3CDTF">2026-02-24T11:31:51Z</dcterms:modified>
  <cp:revision>3</cp:revision>
  <dc:subject>w sprawie zmian w budżecie Miasta i Gminy Górzno na 2026 rok</dc:subject>
  <dc:title>Zarządzenie nr  181/2026 z dnia 24 lutego 2026 r.</dc:title>
</cp:coreProperties>
</file>