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467E173" Type="http://schemas.openxmlformats.org/officeDocument/2006/relationships/officeDocument" Target="/word/document.xml" /><Relationship Id="coreR7467E17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/>
    <w:p/>
    <w:p/>
    <w:p>
      <w:pPr>
        <w:pStyle w:val="P1"/>
        <w:jc w:val="both"/>
        <w:rPr>
          <w:b w:val="1"/>
          <w:sz w:val="23"/>
        </w:rPr>
      </w:pPr>
      <w:r>
        <w:rPr>
          <w:rFonts w:ascii="Times New Roman CE" w:hAnsi="Times New Roman CE"/>
          <w:b w:val="1"/>
          <w:sz w:val="23"/>
        </w:rPr>
        <w:t xml:space="preserve">OGŁOSZENIE O PIERWSZYM PUBLICZNYM PRZETARGU USTNYM NIEOGRANICZONYM NA ODDANIE W DZIERŻAWĘ CZĘŚCI NIERUCHOMOŚCI ZLOKALIZOWANEJ W GÓRZNIE, UL. LEŚNEJ 24 (PLAŻA), STANOWIĄCEJ WŁASNOŚĆ MIASTA I GMINY GÓRZNO, Z PRZEZNACZENIEM NA PROWADZENIE PUNKTU HANDLOWO-GASTRONOMICZNEGO TYPU FOOD TRUCK. </w:t>
      </w:r>
    </w:p>
    <w:p>
      <w:pPr>
        <w:pStyle w:val="P1"/>
        <w:jc w:val="both"/>
        <w:rPr>
          <w:sz w:val="23"/>
        </w:rPr>
      </w:pPr>
    </w:p>
    <w:p>
      <w:pPr>
        <w:pStyle w:val="P1"/>
        <w:rPr>
          <w:sz w:val="23"/>
        </w:rPr>
      </w:pPr>
      <w:r>
        <w:rPr>
          <w:rFonts w:ascii="Times New Roman CE" w:hAnsi="Times New Roman CE"/>
          <w:b w:val="1"/>
          <w:sz w:val="23"/>
        </w:rPr>
        <w:t xml:space="preserve">1. Przedmiot dzierżawy: </w:t>
      </w:r>
    </w:p>
    <w:p>
      <w:pPr>
        <w:pStyle w:val="P1"/>
        <w:jc w:val="both"/>
        <w:rPr>
          <w:sz w:val="23"/>
        </w:rPr>
      </w:pPr>
      <w:r>
        <w:rPr>
          <w:rFonts w:ascii="Times New Roman CE" w:hAnsi="Times New Roman CE"/>
          <w:sz w:val="23"/>
        </w:rPr>
        <w:t xml:space="preserve">Grunt pod lokalizację przyczepy typu food truck </w:t>
      </w:r>
      <w:r>
        <w:rPr>
          <w:b w:val="1"/>
          <w:sz w:val="23"/>
        </w:rPr>
        <w:t xml:space="preserve">o pow. 50 m² </w:t>
      </w:r>
      <w:r>
        <w:rPr>
          <w:rFonts w:ascii="Times New Roman CE" w:hAnsi="Times New Roman CE"/>
          <w:sz w:val="23"/>
        </w:rPr>
        <w:t xml:space="preserve">oraz taras w budynku użytkowym na plaży </w:t>
      </w:r>
      <w:r>
        <w:rPr>
          <w:b w:val="1"/>
          <w:sz w:val="23"/>
        </w:rPr>
        <w:t xml:space="preserve">o pow. 81 m² </w:t>
      </w:r>
      <w:r>
        <w:rPr>
          <w:rFonts w:ascii="Times New Roman CE" w:hAnsi="Times New Roman CE"/>
          <w:sz w:val="23"/>
        </w:rPr>
        <w:t xml:space="preserve">, stanowiące część nieruchomości oznaczonej w ewidencji gruntów </w:t>
        <w:br w:type="textWrapping"/>
        <w:t>i budynków jako działka nr 184/2 o pow. 0,3816 ha</w:t>
      </w:r>
      <w:r>
        <w:rPr>
          <w:b w:val="1"/>
          <w:sz w:val="23"/>
        </w:rPr>
        <w:t xml:space="preserve">, </w:t>
      </w:r>
      <w:r>
        <w:rPr>
          <w:rFonts w:ascii="Times New Roman CE" w:hAnsi="Times New Roman CE"/>
          <w:sz w:val="23"/>
        </w:rPr>
        <w:t xml:space="preserve">położona w Górznie, obręb Górzno Miasto 2, gm. Górzno, przy ul. Leśnej 24 w Górznie (plaża). </w:t>
      </w:r>
    </w:p>
    <w:p>
      <w:pPr>
        <w:pStyle w:val="P1"/>
        <w:jc w:val="both"/>
        <w:rPr>
          <w:sz w:val="23"/>
        </w:rPr>
      </w:pPr>
    </w:p>
    <w:p>
      <w:pPr>
        <w:pStyle w:val="P1"/>
        <w:rPr>
          <w:sz w:val="23"/>
        </w:rPr>
      </w:pPr>
      <w:r>
        <w:rPr>
          <w:rFonts w:ascii="Times New Roman CE" w:hAnsi="Times New Roman CE"/>
          <w:b w:val="1"/>
          <w:sz w:val="23"/>
        </w:rPr>
        <w:t xml:space="preserve">2. Przeznaczenie nieruchomości i sposób jej zagospodarowania: </w:t>
      </w:r>
    </w:p>
    <w:p>
      <w:pPr>
        <w:pStyle w:val="P1"/>
        <w:jc w:val="both"/>
        <w:rPr>
          <w:sz w:val="23"/>
        </w:rPr>
      </w:pPr>
      <w:r>
        <w:rPr>
          <w:rFonts w:ascii="Times New Roman CE" w:hAnsi="Times New Roman CE"/>
          <w:sz w:val="23"/>
        </w:rPr>
        <w:t xml:space="preserve">Dzierżawa na okres od </w:t>
      </w:r>
      <w:r>
        <w:rPr>
          <w:sz w:val="23"/>
        </w:rPr>
        <w:t>dnia 15.05.2026 r. do dnia 31.08.2026 r., z</w:t>
      </w:r>
      <w:r>
        <w:rPr>
          <w:rFonts w:ascii="Times New Roman CE" w:hAnsi="Times New Roman CE"/>
          <w:sz w:val="23"/>
        </w:rPr>
        <w:t xml:space="preserve"> przeznaczeniem na prowadzenie działalności handlowo – gastronomicznej typu food truck, z wyłączeniem sprzedaż napojów alkoholowych przeznaczonych do spożycia w miejscu lub poza miejscem sprzedaży. </w:t>
      </w:r>
    </w:p>
    <w:p>
      <w:pPr>
        <w:pStyle w:val="P1"/>
        <w:jc w:val="both"/>
        <w:rPr>
          <w:sz w:val="23"/>
        </w:rPr>
      </w:pPr>
    </w:p>
    <w:p>
      <w:pPr>
        <w:pStyle w:val="P1"/>
        <w:rPr>
          <w:sz w:val="23"/>
        </w:rPr>
      </w:pPr>
      <w:r>
        <w:rPr>
          <w:rFonts w:ascii="Times New Roman CE" w:hAnsi="Times New Roman CE"/>
          <w:b w:val="1"/>
          <w:sz w:val="23"/>
        </w:rPr>
        <w:t>3. Kwota wywoławcza czynszu dzierżawnego</w:t>
      </w:r>
      <w:r>
        <w:rPr>
          <w:sz w:val="23"/>
        </w:rPr>
        <w:t xml:space="preserve">: </w:t>
      </w:r>
    </w:p>
    <w:p>
      <w:pPr>
        <w:pStyle w:val="P1"/>
        <w:jc w:val="both"/>
        <w:rPr>
          <w:sz w:val="23"/>
        </w:rPr>
      </w:pPr>
      <w:r>
        <w:rPr>
          <w:rFonts w:ascii="Times New Roman CE" w:hAnsi="Times New Roman CE"/>
          <w:sz w:val="23"/>
        </w:rPr>
        <w:t xml:space="preserve">Cena wywoławcza miesięcznego czynszu dzierżawnego wynosi 813,00 zł plus należny podatek </w:t>
        <w:br w:type="textWrapping"/>
        <w:t xml:space="preserve">23 % VAT (łącznie 999,99 zł brutto miesięcznie).  Czynszem dzierżawnym będzie kwota uzyskana </w:t>
        <w:br w:type="textWrapping"/>
        <w:t>w przetargu.</w:t>
      </w:r>
      <w:r>
        <w:rPr>
          <w:sz w:val="23"/>
        </w:rPr>
        <w:t xml:space="preserve"> </w:t>
      </w:r>
      <w:r>
        <w:rPr>
          <w:rFonts w:ascii="Times New Roman CE" w:hAnsi="Times New Roman CE"/>
          <w:sz w:val="23"/>
        </w:rPr>
        <w:t>Czynsz za niepełny okres nalicza się proporcjonalnie.</w:t>
      </w:r>
    </w:p>
    <w:p>
      <w:pPr>
        <w:pStyle w:val="P1"/>
        <w:jc w:val="both"/>
        <w:rPr>
          <w:sz w:val="23"/>
        </w:rPr>
      </w:pPr>
      <w:r>
        <w:rPr>
          <w:rFonts w:ascii="Times New Roman CE" w:hAnsi="Times New Roman CE"/>
          <w:sz w:val="22"/>
        </w:rPr>
        <w:t>Czynsz dzierżawny płatny jest z góry do dnia 15 - tego każdego miesiąca, z zastrzeżeniem wyjątków przewidzianych w umowie zawartej między stronami</w:t>
      </w:r>
      <w:r>
        <w:rPr>
          <w:sz w:val="23"/>
        </w:rPr>
        <w:t>.</w:t>
      </w:r>
    </w:p>
    <w:p>
      <w:pPr>
        <w:pStyle w:val="P1"/>
        <w:jc w:val="both"/>
        <w:rPr>
          <w:sz w:val="23"/>
        </w:rPr>
      </w:pPr>
      <w:r>
        <w:rPr>
          <w:rFonts w:ascii="Times New Roman CE" w:hAnsi="Times New Roman CE"/>
          <w:sz w:val="23"/>
        </w:rPr>
        <w:t xml:space="preserve">Oprócz czynszu Dzierżawca zobowiązany jest opłacać zużycie energii elektrycznej, zimnej wody </w:t>
      </w:r>
      <w:r>
        <w:rPr>
          <w:sz w:val="23"/>
        </w:rPr>
        <w:br w:type="textWrapping"/>
      </w:r>
      <w:r>
        <w:rPr>
          <w:rFonts w:ascii="Times New Roman CE" w:hAnsi="Times New Roman CE"/>
          <w:sz w:val="23"/>
        </w:rPr>
        <w:t xml:space="preserve">i odprowadzanie ścieków zgodnie ze wskazaniem podliczników umieszczonych w przyczepie Dzierżawcy lub zamontowanych na koszt i staraniem Dzierżawcy, opłatę za gospodarowanie odpadami komunalnymi, a także opłacać podatek od nieruchomości. </w:t>
      </w:r>
    </w:p>
    <w:p>
      <w:pPr>
        <w:pStyle w:val="P1"/>
        <w:rPr>
          <w:sz w:val="23"/>
        </w:rPr>
      </w:pPr>
    </w:p>
    <w:p>
      <w:pPr>
        <w:pStyle w:val="P1"/>
        <w:rPr>
          <w:sz w:val="23"/>
        </w:rPr>
      </w:pPr>
      <w:r>
        <w:rPr>
          <w:b w:val="1"/>
          <w:sz w:val="23"/>
        </w:rPr>
        <w:t xml:space="preserve">4. Termin i miejsce przetargu: </w:t>
      </w:r>
    </w:p>
    <w:p>
      <w:pPr>
        <w:pStyle w:val="P1"/>
        <w:rPr>
          <w:sz w:val="23"/>
        </w:rPr>
      </w:pPr>
      <w:r>
        <w:rPr>
          <w:rFonts w:ascii="Times New Roman CE" w:hAnsi="Times New Roman CE"/>
          <w:sz w:val="23"/>
        </w:rPr>
        <w:t xml:space="preserve">Przetarg odbędzie się w dniu </w:t>
      </w:r>
      <w:r>
        <w:rPr>
          <w:b w:val="1"/>
          <w:sz w:val="23"/>
        </w:rPr>
        <w:t xml:space="preserve">27.03.2026 </w:t>
      </w:r>
      <w:r>
        <w:rPr>
          <w:sz w:val="23"/>
        </w:rPr>
        <w:t>roku o godz. 10</w:t>
      </w:r>
      <w:r>
        <w:rPr>
          <w:sz w:val="18"/>
          <w:vertAlign w:val="superscript"/>
        </w:rPr>
        <w:t>00</w:t>
      </w:r>
      <w:r>
        <w:rPr>
          <w:sz w:val="18"/>
        </w:rPr>
        <w:t xml:space="preserve"> </w:t>
      </w:r>
      <w:r>
        <w:rPr>
          <w:rFonts w:ascii="Times New Roman CE" w:hAnsi="Times New Roman CE"/>
          <w:sz w:val="23"/>
        </w:rPr>
        <w:t xml:space="preserve">w siedzibie Urzędu Miasta i Gminy Górzno – sala USC. </w:t>
      </w:r>
    </w:p>
    <w:p>
      <w:pPr>
        <w:pStyle w:val="P1"/>
        <w:rPr>
          <w:sz w:val="23"/>
        </w:rPr>
      </w:pPr>
    </w:p>
    <w:p>
      <w:pPr>
        <w:pStyle w:val="P1"/>
        <w:jc w:val="both"/>
        <w:rPr>
          <w:sz w:val="23"/>
        </w:rPr>
      </w:pPr>
      <w:r>
        <w:rPr>
          <w:rFonts w:ascii="Times New Roman CE" w:hAnsi="Times New Roman CE"/>
          <w:b w:val="1"/>
          <w:sz w:val="23"/>
        </w:rPr>
        <w:t xml:space="preserve">5. Warunki przystąpienia do przetargu: </w:t>
      </w:r>
    </w:p>
    <w:p>
      <w:pPr>
        <w:pStyle w:val="P1"/>
        <w:jc w:val="both"/>
        <w:rPr>
          <w:sz w:val="23"/>
        </w:rPr>
      </w:pPr>
      <w:r>
        <w:rPr>
          <w:rFonts w:ascii="Times New Roman CE" w:hAnsi="Times New Roman CE"/>
          <w:sz w:val="23"/>
        </w:rPr>
        <w:t xml:space="preserve">Oferenci zobowiązani będą przed rozpoczęciem licytacji do złożenia na piśmie oświadczeń: </w:t>
      </w:r>
    </w:p>
    <w:p>
      <w:pPr>
        <w:pStyle w:val="P1"/>
        <w:jc w:val="both"/>
        <w:rPr>
          <w:sz w:val="23"/>
        </w:rPr>
      </w:pPr>
      <w:r>
        <w:rPr>
          <w:sz w:val="23"/>
        </w:rPr>
        <w:t xml:space="preserve">1) </w:t>
      </w:r>
      <w:r>
        <w:rPr>
          <w:rFonts w:ascii="Times New Roman CE" w:hAnsi="Times New Roman CE"/>
          <w:sz w:val="23"/>
        </w:rPr>
        <w:t xml:space="preserve">o zapoznaniu się z pełną treścią ogłoszenia o przetargu; </w:t>
      </w:r>
    </w:p>
    <w:p>
      <w:pPr>
        <w:pStyle w:val="P1"/>
        <w:jc w:val="both"/>
        <w:rPr>
          <w:sz w:val="23"/>
        </w:rPr>
      </w:pPr>
      <w:r>
        <w:rPr>
          <w:sz w:val="23"/>
        </w:rPr>
        <w:t xml:space="preserve">2) </w:t>
      </w:r>
      <w:r>
        <w:rPr>
          <w:rFonts w:ascii="Times New Roman CE" w:hAnsi="Times New Roman CE"/>
          <w:sz w:val="23"/>
        </w:rPr>
        <w:t xml:space="preserve">o zapoznaniu się ze stanem faktyczno-technicznym nieruchomości; </w:t>
      </w:r>
    </w:p>
    <w:p>
      <w:pPr>
        <w:pStyle w:val="P1"/>
        <w:jc w:val="both"/>
        <w:rPr>
          <w:sz w:val="23"/>
        </w:rPr>
      </w:pPr>
    </w:p>
    <w:p>
      <w:pPr>
        <w:pStyle w:val="P1"/>
        <w:jc w:val="both"/>
        <w:rPr>
          <w:sz w:val="23"/>
        </w:rPr>
      </w:pPr>
      <w:r>
        <w:rPr>
          <w:rFonts w:ascii="Times New Roman CE" w:hAnsi="Times New Roman CE"/>
          <w:sz w:val="23"/>
        </w:rPr>
        <w:t xml:space="preserve">W przypadku udziału w przetargu pełnomocnika, należy przedłożyć najpóźniej jeden dzień roboczy przed dniem przetargu stosowne pełnomocnictwo do reprezentowania w przetargu, udzielone </w:t>
      </w:r>
      <w:r>
        <w:rPr>
          <w:sz w:val="23"/>
        </w:rPr>
        <w:br w:type="textWrapping"/>
      </w:r>
      <w:r>
        <w:rPr>
          <w:rFonts w:ascii="Times New Roman CE" w:hAnsi="Times New Roman CE"/>
          <w:sz w:val="23"/>
        </w:rPr>
        <w:t xml:space="preserve">w formie pisemnej i zawierające zgodę na uczestnictwo w przetargu. </w:t>
      </w:r>
    </w:p>
    <w:p>
      <w:pPr>
        <w:pStyle w:val="P1"/>
        <w:jc w:val="both"/>
        <w:rPr>
          <w:sz w:val="23"/>
        </w:rPr>
      </w:pPr>
    </w:p>
    <w:p>
      <w:pPr>
        <w:pStyle w:val="P1"/>
        <w:jc w:val="both"/>
        <w:rPr>
          <w:sz w:val="23"/>
        </w:rPr>
      </w:pPr>
      <w:r>
        <w:rPr>
          <w:b w:val="1"/>
          <w:sz w:val="23"/>
        </w:rPr>
        <w:t xml:space="preserve">6. Informacje organizatora przetargu: </w:t>
      </w:r>
    </w:p>
    <w:p>
      <w:pPr>
        <w:pStyle w:val="P1"/>
        <w:jc w:val="both"/>
        <w:rPr>
          <w:sz w:val="23"/>
        </w:rPr>
      </w:pPr>
      <w:r>
        <w:rPr>
          <w:rFonts w:ascii="Times New Roman CE" w:hAnsi="Times New Roman CE"/>
          <w:sz w:val="23"/>
        </w:rPr>
        <w:t xml:space="preserve">Przetarg będzie miał formę licytacji. Przetarg jest ważny bez względu na liczbę uczestników, jeżeli chociaż jeden uczestnik zaoferuje, co najmniej jedno postąpienie powyżej ceny wywoławczej. </w:t>
      </w:r>
      <w:r>
        <w:rPr>
          <w:sz w:val="23"/>
        </w:rPr>
        <w:br w:type="textWrapping"/>
      </w:r>
      <w:r>
        <w:rPr>
          <w:rFonts w:ascii="Times New Roman CE" w:hAnsi="Times New Roman CE"/>
          <w:sz w:val="23"/>
        </w:rPr>
        <w:t xml:space="preserve">O postąpieniu w licytacji decydują uczestnicy przetargu, z tym że postąpienie nie może wynosić mniej niż </w:t>
      </w:r>
      <w:r>
        <w:rPr>
          <w:sz w:val="23"/>
        </w:rPr>
        <w:t>50,00</w:t>
      </w:r>
      <w:r>
        <w:rPr>
          <w:rFonts w:ascii="Times New Roman CE" w:hAnsi="Times New Roman CE"/>
          <w:sz w:val="23"/>
        </w:rPr>
        <w:t xml:space="preserve"> zł (słownie: pięćdziesiąt złotych</w:t>
      </w:r>
      <w:r>
        <w:rPr>
          <w:sz w:val="23"/>
        </w:rPr>
        <w:t xml:space="preserve"> 00/100</w:t>
      </w:r>
      <w:r>
        <w:rPr>
          <w:rFonts w:ascii="Times New Roman CE" w:hAnsi="Times New Roman CE"/>
          <w:sz w:val="23"/>
        </w:rPr>
        <w:t xml:space="preserve">). Uczestnicy przetargu zgłaszają ustnie kolejne postąpienia ceny, dopóki, mimo trzykrotnego wywołania, nie ma dalszych postąpień. Przedmiot dzierżawy można oglądać w godzinach pracy Urzędu Miasta i Gminy w Górznie. Burmistrz Miasta </w:t>
      </w:r>
      <w:r>
        <w:rPr>
          <w:rFonts w:ascii="Times New Roman CE" w:hAnsi="Times New Roman CE"/>
          <w:sz w:val="23"/>
          <w:lang w:val="pl-PL" w:bidi="pl-PL" w:eastAsia="pl-PL"/>
        </w:rPr>
        <w:br w:type="textWrapping"/>
      </w:r>
      <w:r>
        <w:rPr>
          <w:rFonts w:ascii="Times New Roman CE" w:hAnsi="Times New Roman CE"/>
          <w:sz w:val="23"/>
        </w:rPr>
        <w:t xml:space="preserve">i Gminy Górzno zastrzega sobie prawo odwołania przetargu bez podania przyczyny. </w:t>
      </w:r>
    </w:p>
    <w:p>
      <w:pPr>
        <w:pStyle w:val="P1"/>
        <w:jc w:val="both"/>
        <w:rPr>
          <w:sz w:val="23"/>
        </w:rPr>
      </w:pPr>
    </w:p>
    <w:p>
      <w:pPr>
        <w:pStyle w:val="P1"/>
        <w:jc w:val="both"/>
        <w:rPr>
          <w:sz w:val="23"/>
        </w:rPr>
      </w:pPr>
    </w:p>
    <w:p>
      <w:pPr>
        <w:pStyle w:val="P1"/>
        <w:rPr>
          <w:sz w:val="23"/>
        </w:rPr>
      </w:pPr>
      <w:r>
        <w:rPr>
          <w:rFonts w:ascii="Times New Roman CE" w:hAnsi="Times New Roman CE"/>
          <w:b w:val="1"/>
          <w:sz w:val="23"/>
        </w:rPr>
        <w:t xml:space="preserve">PODMIOT, Z KTÓRYM ZOSTANIE ZAWARTA UMOWA DZIERŻAWY ZOBOWIĄZANY JEST: </w:t>
      </w:r>
    </w:p>
    <w:p>
      <w:pPr>
        <w:pStyle w:val="P1"/>
        <w:jc w:val="both"/>
        <w:rPr>
          <w:sz w:val="23"/>
        </w:rPr>
      </w:pPr>
      <w:r>
        <w:rPr>
          <w:sz w:val="23"/>
        </w:rPr>
        <w:t xml:space="preserve">1) </w:t>
      </w:r>
      <w:r>
        <w:rPr>
          <w:rFonts w:ascii="Times New Roman CE" w:hAnsi="Times New Roman CE"/>
          <w:sz w:val="23"/>
        </w:rPr>
        <w:t xml:space="preserve">samodzielnie i na własny koszt zagospodarować grunt i dostosować do wymogów związanych </w:t>
      </w:r>
      <w:r>
        <w:rPr>
          <w:sz w:val="23"/>
        </w:rPr>
        <w:br w:type="textWrapping"/>
        <w:t xml:space="preserve">z prowadzeniem punktu handlowo-gastronomicznego; </w:t>
      </w:r>
    </w:p>
    <w:p>
      <w:pPr>
        <w:pStyle w:val="P1"/>
        <w:jc w:val="both"/>
        <w:rPr>
          <w:sz w:val="23"/>
        </w:rPr>
      </w:pPr>
      <w:r>
        <w:rPr>
          <w:sz w:val="23"/>
        </w:rPr>
        <w:t xml:space="preserve">2) </w:t>
      </w:r>
      <w:r>
        <w:rPr>
          <w:rFonts w:ascii="Times New Roman CE" w:hAnsi="Times New Roman CE"/>
          <w:sz w:val="23"/>
        </w:rPr>
        <w:t xml:space="preserve">uzyskać wszelkie niezbędne zezwolenia, umowy, koncesje, odbiory związane z prowadzeniem punktu handlowo-gastronomicznego; </w:t>
      </w:r>
    </w:p>
    <w:p>
      <w:pPr>
        <w:pStyle w:val="P1"/>
        <w:jc w:val="both"/>
        <w:rPr>
          <w:sz w:val="23"/>
        </w:rPr>
      </w:pPr>
      <w:r>
        <w:rPr>
          <w:sz w:val="23"/>
        </w:rPr>
        <w:t xml:space="preserve">3) </w:t>
      </w:r>
      <w:r>
        <w:rPr>
          <w:rFonts w:ascii="Times New Roman CE" w:hAnsi="Times New Roman CE"/>
          <w:sz w:val="23"/>
        </w:rPr>
        <w:t xml:space="preserve">rozpocząć działalność punktu na wydzierżawionym gruncie nie później niż w ciągu 7 dni od dnia rozpoczęcia okresu dzierżawnego zgodnie z zawartą umową na dzierżawę gruntu; </w:t>
      </w:r>
    </w:p>
    <w:p>
      <w:pPr>
        <w:pStyle w:val="P1"/>
        <w:jc w:val="both"/>
        <w:rPr>
          <w:sz w:val="23"/>
        </w:rPr>
      </w:pPr>
      <w:r>
        <w:rPr>
          <w:sz w:val="23"/>
        </w:rPr>
        <w:t xml:space="preserve">4) </w:t>
      </w:r>
      <w:r>
        <w:rPr>
          <w:rFonts w:ascii="Times New Roman CE" w:hAnsi="Times New Roman CE"/>
          <w:sz w:val="23"/>
        </w:rPr>
        <w:t xml:space="preserve">w przypadku nie spełnienia wyżej wymienionych warunków Wydzierżawiający, może rozwiązać umowę ze skutkiem natychmiastowym. </w:t>
      </w:r>
    </w:p>
    <w:p>
      <w:pPr>
        <w:pStyle w:val="P1"/>
        <w:rPr>
          <w:sz w:val="23"/>
        </w:rPr>
      </w:pPr>
    </w:p>
    <w:p>
      <w:pPr>
        <w:pStyle w:val="P1"/>
        <w:rPr>
          <w:sz w:val="23"/>
        </w:rPr>
      </w:pPr>
      <w:r>
        <w:rPr>
          <w:b w:val="1"/>
          <w:sz w:val="23"/>
        </w:rPr>
        <w:t xml:space="preserve">INNE INFORMACJE: </w:t>
      </w:r>
    </w:p>
    <w:p>
      <w:r>
        <w:rPr>
          <w:rFonts w:ascii="Times New Roman CE" w:hAnsi="Times New Roman CE"/>
          <w:sz w:val="23"/>
        </w:rPr>
        <w:t xml:space="preserve">Dodatkowych informacji o nieruchomości będącej przedmiotem przetargu można uzyskać  pod numerem telefonu (56) 6448364. Niniejsze ogłoszenie podano do publicznej wiadomości poprzez wywieszenie go na tablicach ogłoszeń oraz na stronie: https://mst-gorzno.rbip.mojregion.info/8/strona-glowna-bip.html</w:t>
      </w:r>
      <w:r>
        <w:rPr>
          <w:rFonts w:ascii="Times New Roman" w:hAnsi="Times New Roman"/>
        </w:rPr>
        <w:tab/>
      </w:r>
    </w:p>
    <w:p/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21CB8986"/>
    <w:multiLevelType w:val="hybridMultilevel"/>
    <w:lvl w:ilvl="0" w:tplc="61F48594">
      <w:start w:val="1"/>
      <w:numFmt w:val="lowerLetter"/>
      <w:suff w:val="tab"/>
      <w:lvlText w:val=""/>
      <w:lvlJc w:val="left"/>
      <w:pPr>
        <w:spacing w:lineRule="auto" w:line="240" w:after="0" w:beforeAutospacing="0" w:afterAutospacing="0"/>
      </w:pPr>
      <w:rPr/>
    </w:lvl>
    <w:lvl w:ilvl="1" w:tplc="0090ED43">
      <w:start w:val="0"/>
      <w:numFmt w:val="decimal"/>
      <w:suff w:val="tab"/>
      <w:lvlText w:val=""/>
      <w:lvlJc w:val="left"/>
      <w:pPr>
        <w:spacing w:lineRule="auto" w:line="240" w:after="0" w:beforeAutospacing="0" w:afterAutospacing="0"/>
      </w:pPr>
      <w:rPr/>
    </w:lvl>
    <w:lvl w:ilvl="2" w:tplc="7548683E">
      <w:start w:val="0"/>
      <w:numFmt w:val="decimal"/>
      <w:suff w:val="tab"/>
      <w:lvlText w:val=""/>
      <w:lvlJc w:val="left"/>
      <w:pPr>
        <w:spacing w:lineRule="auto" w:line="240" w:after="0" w:beforeAutospacing="0" w:afterAutospacing="0"/>
      </w:pPr>
      <w:rPr/>
    </w:lvl>
    <w:lvl w:ilvl="3" w:tplc="27147D94">
      <w:start w:val="0"/>
      <w:numFmt w:val="decimal"/>
      <w:suff w:val="tab"/>
      <w:lvlText w:val=""/>
      <w:lvlJc w:val="left"/>
      <w:pPr>
        <w:spacing w:lineRule="auto" w:line="240" w:after="0" w:beforeAutospacing="0" w:afterAutospacing="0"/>
      </w:pPr>
      <w:rPr/>
    </w:lvl>
    <w:lvl w:ilvl="4" w:tplc="59FCD397">
      <w:start w:val="0"/>
      <w:numFmt w:val="decimal"/>
      <w:suff w:val="tab"/>
      <w:lvlText w:val=""/>
      <w:lvlJc w:val="left"/>
      <w:pPr>
        <w:spacing w:lineRule="auto" w:line="240" w:after="0" w:beforeAutospacing="0" w:afterAutospacing="0"/>
      </w:pPr>
      <w:rPr/>
    </w:lvl>
    <w:lvl w:ilvl="5" w:tplc="22056785">
      <w:start w:val="0"/>
      <w:numFmt w:val="decimal"/>
      <w:suff w:val="tab"/>
      <w:lvlText w:val=""/>
      <w:lvlJc w:val="left"/>
      <w:pPr>
        <w:spacing w:lineRule="auto" w:line="240" w:after="0" w:beforeAutospacing="0" w:afterAutospacing="0"/>
      </w:pPr>
      <w:rPr/>
    </w:lvl>
    <w:lvl w:ilvl="6" w:tplc="13D25C57">
      <w:start w:val="0"/>
      <w:numFmt w:val="decimal"/>
      <w:suff w:val="tab"/>
      <w:lvlText w:val=""/>
      <w:lvlJc w:val="left"/>
      <w:pPr>
        <w:spacing w:lineRule="auto" w:line="240" w:after="0" w:beforeAutospacing="0" w:afterAutospacing="0"/>
      </w:pPr>
      <w:rPr/>
    </w:lvl>
    <w:lvl w:ilvl="7" w:tplc="71AB089C">
      <w:start w:val="0"/>
      <w:numFmt w:val="decimal"/>
      <w:suff w:val="tab"/>
      <w:lvlText w:val=""/>
      <w:lvlJc w:val="left"/>
      <w:pPr>
        <w:spacing w:lineRule="auto" w:line="240" w:after="0" w:beforeAutospacing="0" w:afterAutospacing="0"/>
      </w:pPr>
      <w:rPr/>
    </w:lvl>
    <w:lvl w:ilvl="8" w:tplc="700391DD">
      <w:start w:val="0"/>
      <w:numFmt w:val="decimal"/>
      <w:suff w:val="tab"/>
      <w:lvlText w:val=""/>
      <w:lvlJc w:val="left"/>
      <w:pPr>
        <w:spacing w:lineRule="auto" w:line="240" w:after="0" w:beforeAutospacing="0" w:afterAutospacing="0"/>
      </w:pPr>
      <w:rPr/>
    </w:lvl>
  </w:abstractNum>
  <w:abstractNum w:abstractNumId="1">
    <w:nsid w:val="11E1BF86"/>
    <w:multiLevelType w:val="hybridMultilevel"/>
    <w:lvl w:ilvl="0" w:tplc="78D8E387">
      <w:start w:val="1"/>
      <w:numFmt w:val="lowerLetter"/>
      <w:suff w:val="tab"/>
      <w:lvlText w:val=""/>
      <w:lvlJc w:val="left"/>
      <w:pPr>
        <w:spacing w:lineRule="auto" w:line="240" w:after="0" w:beforeAutospacing="0" w:afterAutospacing="0"/>
      </w:pPr>
      <w:rPr/>
    </w:lvl>
    <w:lvl w:ilvl="1" w:tplc="1E3AF5AF">
      <w:start w:val="0"/>
      <w:numFmt w:val="decimal"/>
      <w:suff w:val="tab"/>
      <w:lvlText w:val=""/>
      <w:lvlJc w:val="left"/>
      <w:pPr>
        <w:spacing w:lineRule="auto" w:line="240" w:after="0" w:beforeAutospacing="0" w:afterAutospacing="0"/>
      </w:pPr>
      <w:rPr/>
    </w:lvl>
    <w:lvl w:ilvl="2" w:tplc="662BD6E1">
      <w:start w:val="0"/>
      <w:numFmt w:val="decimal"/>
      <w:suff w:val="tab"/>
      <w:lvlText w:val=""/>
      <w:lvlJc w:val="left"/>
      <w:pPr>
        <w:spacing w:lineRule="auto" w:line="240" w:after="0" w:beforeAutospacing="0" w:afterAutospacing="0"/>
      </w:pPr>
      <w:rPr/>
    </w:lvl>
    <w:lvl w:ilvl="3" w:tplc="2F740F8F">
      <w:start w:val="0"/>
      <w:numFmt w:val="decimal"/>
      <w:suff w:val="tab"/>
      <w:lvlText w:val=""/>
      <w:lvlJc w:val="left"/>
      <w:pPr>
        <w:spacing w:lineRule="auto" w:line="240" w:after="0" w:beforeAutospacing="0" w:afterAutospacing="0"/>
      </w:pPr>
      <w:rPr/>
    </w:lvl>
    <w:lvl w:ilvl="4" w:tplc="03F7FC02">
      <w:start w:val="0"/>
      <w:numFmt w:val="decimal"/>
      <w:suff w:val="tab"/>
      <w:lvlText w:val=""/>
      <w:lvlJc w:val="left"/>
      <w:pPr>
        <w:spacing w:lineRule="auto" w:line="240" w:after="0" w:beforeAutospacing="0" w:afterAutospacing="0"/>
      </w:pPr>
      <w:rPr/>
    </w:lvl>
    <w:lvl w:ilvl="5" w:tplc="5CAA1627">
      <w:start w:val="0"/>
      <w:numFmt w:val="decimal"/>
      <w:suff w:val="tab"/>
      <w:lvlText w:val=""/>
      <w:lvlJc w:val="left"/>
      <w:pPr>
        <w:spacing w:lineRule="auto" w:line="240" w:after="0" w:beforeAutospacing="0" w:afterAutospacing="0"/>
      </w:pPr>
      <w:rPr/>
    </w:lvl>
    <w:lvl w:ilvl="6" w:tplc="0ADE5D5B">
      <w:start w:val="0"/>
      <w:numFmt w:val="decimal"/>
      <w:suff w:val="tab"/>
      <w:lvlText w:val=""/>
      <w:lvlJc w:val="left"/>
      <w:pPr>
        <w:spacing w:lineRule="auto" w:line="240" w:after="0" w:beforeAutospacing="0" w:afterAutospacing="0"/>
      </w:pPr>
      <w:rPr/>
    </w:lvl>
    <w:lvl w:ilvl="7" w:tplc="79EFF990">
      <w:start w:val="0"/>
      <w:numFmt w:val="decimal"/>
      <w:suff w:val="tab"/>
      <w:lvlText w:val=""/>
      <w:lvlJc w:val="left"/>
      <w:pPr>
        <w:spacing w:lineRule="auto" w:line="240" w:after="0" w:beforeAutospacing="0" w:afterAutospacing="0"/>
      </w:pPr>
      <w:rPr/>
    </w:lvl>
    <w:lvl w:ilvl="8" w:tplc="5C9B8D0F">
      <w:start w:val="0"/>
      <w:numFmt w:val="decimal"/>
      <w:suff w:val="tab"/>
      <w:lvlText w:val=""/>
      <w:lvlJc w:val="left"/>
      <w:pPr>
        <w:spacing w:lineRule="auto" w:line="240" w:after="0" w:beforeAutospacing="0" w:afterAutospacing="0"/>
      </w:pPr>
      <w:rPr/>
    </w:lvl>
  </w:abstractNum>
  <w:abstractNum w:abstractNumId="2">
    <w:nsid w:val="44128A7D"/>
    <w:multiLevelType w:val="hybridMultilevel"/>
    <w:lvl w:ilvl="0" w:tplc="514C6DCD">
      <w:start w:val="1"/>
      <w:numFmt w:val="lowerLetter"/>
      <w:suff w:val="tab"/>
      <w:lvlText w:val=""/>
      <w:lvlJc w:val="left"/>
      <w:pPr>
        <w:spacing w:lineRule="auto" w:line="240" w:after="0" w:beforeAutospacing="0" w:afterAutospacing="0"/>
      </w:pPr>
      <w:rPr/>
    </w:lvl>
    <w:lvl w:ilvl="1" w:tplc="3C2D40D7">
      <w:start w:val="0"/>
      <w:numFmt w:val="decimal"/>
      <w:suff w:val="tab"/>
      <w:lvlText w:val=""/>
      <w:lvlJc w:val="left"/>
      <w:pPr>
        <w:spacing w:lineRule="auto" w:line="240" w:after="0" w:beforeAutospacing="0" w:afterAutospacing="0"/>
      </w:pPr>
      <w:rPr/>
    </w:lvl>
    <w:lvl w:ilvl="2" w:tplc="3E0E8BF2">
      <w:start w:val="0"/>
      <w:numFmt w:val="decimal"/>
      <w:suff w:val="tab"/>
      <w:lvlText w:val=""/>
      <w:lvlJc w:val="left"/>
      <w:pPr>
        <w:spacing w:lineRule="auto" w:line="240" w:after="0" w:beforeAutospacing="0" w:afterAutospacing="0"/>
      </w:pPr>
      <w:rPr/>
    </w:lvl>
    <w:lvl w:ilvl="3" w:tplc="41425FE1">
      <w:start w:val="0"/>
      <w:numFmt w:val="decimal"/>
      <w:suff w:val="tab"/>
      <w:lvlText w:val=""/>
      <w:lvlJc w:val="left"/>
      <w:pPr>
        <w:spacing w:lineRule="auto" w:line="240" w:after="0" w:beforeAutospacing="0" w:afterAutospacing="0"/>
      </w:pPr>
      <w:rPr/>
    </w:lvl>
    <w:lvl w:ilvl="4" w:tplc="060255E0">
      <w:start w:val="0"/>
      <w:numFmt w:val="decimal"/>
      <w:suff w:val="tab"/>
      <w:lvlText w:val=""/>
      <w:lvlJc w:val="left"/>
      <w:pPr>
        <w:spacing w:lineRule="auto" w:line="240" w:after="0" w:beforeAutospacing="0" w:afterAutospacing="0"/>
      </w:pPr>
      <w:rPr/>
    </w:lvl>
    <w:lvl w:ilvl="5" w:tplc="266C48FD">
      <w:start w:val="0"/>
      <w:numFmt w:val="decimal"/>
      <w:suff w:val="tab"/>
      <w:lvlText w:val=""/>
      <w:lvlJc w:val="left"/>
      <w:pPr>
        <w:spacing w:lineRule="auto" w:line="240" w:after="0" w:beforeAutospacing="0" w:afterAutospacing="0"/>
      </w:pPr>
      <w:rPr/>
    </w:lvl>
    <w:lvl w:ilvl="6" w:tplc="3CE6A0C9">
      <w:start w:val="0"/>
      <w:numFmt w:val="decimal"/>
      <w:suff w:val="tab"/>
      <w:lvlText w:val=""/>
      <w:lvlJc w:val="left"/>
      <w:pPr>
        <w:spacing w:lineRule="auto" w:line="240" w:after="0" w:beforeAutospacing="0" w:afterAutospacing="0"/>
      </w:pPr>
      <w:rPr/>
    </w:lvl>
    <w:lvl w:ilvl="7" w:tplc="121B616B">
      <w:start w:val="0"/>
      <w:numFmt w:val="decimal"/>
      <w:suff w:val="tab"/>
      <w:lvlText w:val=""/>
      <w:lvlJc w:val="left"/>
      <w:pPr>
        <w:spacing w:lineRule="auto" w:line="240" w:after="0" w:beforeAutospacing="0" w:afterAutospacing="0"/>
      </w:pPr>
      <w:rPr/>
    </w:lvl>
    <w:lvl w:ilvl="8" w:tplc="5E57414C">
      <w:start w:val="0"/>
      <w:numFmt w:val="decimal"/>
      <w:suff w:val="tab"/>
      <w:lvlText w:val=""/>
      <w:lvlJc w:val="left"/>
      <w:pPr>
        <w:spacing w:lineRule="auto" w:line="240" w:after="0" w:beforeAutospacing="0" w:afterAutospacing="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>
      <w:rFonts w:ascii="Times New Roman" w:hAnsi="Times New Roman"/>
      <w:b w:val="0"/>
      <w:color w:val="000000"/>
      <w:sz w:val="22"/>
    </w:rPr>
  </w:style>
  <w:style w:type="paragraph" w:styleId="P1">
    <w:name w:val="Default"/>
    <w:basedOn w:val="P0"/>
    <w:next w:val="P1"/>
    <w:pPr>
      <w:spacing w:lineRule="auto" w:line="240" w:after="0" w:beforeAutospacing="0" w:afterAutospacing="0"/>
    </w:pPr>
    <w:rPr>
      <w:rFonts w:ascii="Times New Roman" w:hAnsi="Times New Roman"/>
      <w:color w:val="000000"/>
      <w:sz w:val="24"/>
      <w:shd w:val="clear" w:color="auto" w:fill="auto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Anna Krajnik</dc:creator>
  <dcterms:created xsi:type="dcterms:W3CDTF">2026-03-13T08:39:49Z</dcterms:created>
  <cp:lastModifiedBy>Anna Krajnik</cp:lastModifiedBy>
  <dcterms:modified xsi:type="dcterms:W3CDTF">2026-03-13T09:47:39Z</dcterms:modified>
  <cp:revision>6</cp:revision>
</cp:coreProperties>
</file>