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6392F6" Type="http://schemas.openxmlformats.org/officeDocument/2006/relationships/officeDocument" Target="/word/document.xml" /><Relationship Id="coreR7A6392F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15 ust. 1 ustawy z dnia 17 grudnia 2021 r. o ochotniczych strażach pożarnych strażak ratownik, który uczestniczył w działaniu ratowniczym, akcji ratowniczej, szkoleniu lub ćwiczeniu, otrzymuje – niezależnie od otrzymywanego wynagrodzenia – ekwiwalent pieniężny. Ekwiwalent pieniężny przysługuje również kandydatowi na strażaka ratownika OSP uczestniczącemu w szkoleniu podstawowym, o którym mowa w art. 15 ust. 1a ustawy o ochotniczych strażach pożarnych. Ponadto, zgodnie z art. 15a ustawy, rada gminy może przyznać ekwiwalent pieniężny strażakom ratownikom OSP za wykonywanie innych zadań niż działania ratownicze, akcje ratownicze, szkolenia lub ćwiczenia, w szczególności związanych z zabezpieczaniem imprez organizowanych przez gminę lub prowadzeniem działalności edukacyjnej w zakresie ochrony przeciwpożarowej i udzielania pierwszej pomocy.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 podstawie art. 15 ust. 2 powołanej ustawy wysokość ekwiwalentu pieniężnego ustala, w drodze uchwały, rada gminy nie rzadziej niż raz na 2 lata.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Wysokość ekwiwalentu nie może przekraczać 1/175 przeciętnego wynagrodzenia miesięcznego brutto, ogłoszonego przez Prezesa Głównego Urzędu Statystycznego w Dzienniku Urzędowym Rzeczypospolitej Polskiej „Monitor Polski”, na podstawie art. 20 pkt 2 ustawy z dnia 17 grudnia 1998r.  o emeryturach i rentach z Funduszu Ubezpieczeń Społecznych, przed dniem ustalenia ekwiwalentu pieniężnego.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Proponowane stawki ekwiwalentu pieniężnego uwzględniają aktualne możliwości finansowe budżetu Miasta i Gminy Górzno, a także konieczność zapewnienia odpowiedniego poziomu rekompensaty dla strażaków ratowników za ich zaangażowanie, czas oraz gotowość do niesienia pomocy.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uchwały jest w pełni uzasadnione.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2026-04-03T08:01:38Z</dcterms:created>
  <cp:lastModifiedBy>JaroszewskaM</cp:lastModifiedBy>
  <dcterms:modified xsi:type="dcterms:W3CDTF">2026-04-03T06:08:54Z</dcterms:modified>
  <cp:revision>4</cp:revision>
  <dc:subject>w sprawie ustalenia wysokości ekwiwalentu pieniężnego dla strażaków ratowników, kandydatów na strażaków ratowników Ochotniczych Straży Pożarnych</dc:subject>
  <dc:title>Uchwała nr  XXIII/149/2026 z dnia 2 kwietnia 2026 r.</dc:title>
</cp:coreProperties>
</file>