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A98357B" Type="http://schemas.openxmlformats.org/officeDocument/2006/relationships/officeDocument" Target="/word/document.xml" /><Relationship Id="coreR3A98357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 xml:space="preserve">Art. 4 ust. 1 ustawy  z dnia 13 września 1996 o utrzymaniu czystości i porządku w gminach (Dz.U. z 2025 poz.733 t.j.) nakłada na radę gminy obowiązek uchwalenia Regulaminu utrzymania czystości i porządku w gminie. Regulamin jest aktem prawa miejscowego, który wymaga cyklicznej aktualizacji w celu dostosowania go do zmieniających się przepisów prawa powszechnie obowiązującego oraz bieżących potrzeb systemu gospodarki odpadami.</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 xml:space="preserve">Konieczność ujednolicenia zapisów Regulaminu wynika z potrzeby dostosowania do aktualnego brzmienia ustawy o utrzymaniu czystości i porządku w gminach i nowych wytycznych w zakresie selektywnej zbiórki odpadów. Regulamin wprowadza nowe częstotliwości odbioru odpadów komunalnych od właścicieli nieruchomości oraz zmienia minimalną pojemność pojemników do zbierania odpadów komunalnych na terenie nieruchomości. Niniejsza uchwała zastępuje dotychczasowy regulamin wraz z jego licznymi zmianami z lat 2020–2023. Przyjęcie nowego, jednolitego tekstu znacząco ułatwi interpretację przepisów zarówno mieszkańcom, jak innym podmiotom Projekt Regulaminu, zgodnie z wymogami ustawowymi, został zaopiniowany pozytywnie  przez Państwowego Powiatowego Inspektora Sanitarnego w Brodnicy.</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Mając na względzie powyższe, podjęcie niniejszej uchwąły jest zasadne.</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2026-04-02T09:01:11Z</dcterms:created>
  <cp:lastModifiedBy>JaroszewskaM</cp:lastModifiedBy>
  <dcterms:modified xsi:type="dcterms:W3CDTF">2026-04-03T07:24:43Z</dcterms:modified>
  <cp:revision>6</cp:revision>
  <dc:subject>w sprawie przyjęcia Regulaminu utrzymania czystości i porządku na terenie Miasta i Gminy Górzno</dc:subject>
  <dc:title>Uchwała nr  XXIII/153/2026 z dnia 2 kwietnia 2026 r.</dc:title>
</cp:coreProperties>
</file>