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B84FD1" Type="http://schemas.openxmlformats.org/officeDocument/2006/relationships/officeDocument" Target="/word/document.xml" /><Relationship Id="coreR4B84FD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Art. 18 ust. 2 pkt. 4 ustawy z dnia 8 marca 1990 roku o samorządzie gminnym (t.j. Dz. U. z 2026 r., poz.662) daje delegację organowi stanowiącemu jednostki samorządu terytorialnego do rozpatrzenia sprawozdania z wykonania budżetu i podjęcia uchwały w sprawie absolutorium z tego tytułu.</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Z kolei art. 271 ust.1 ustawy z dnia 27 sierpnia 2009 r. o finansach publicznych (t.j. Dz. U. z 2025 r. poz. 1483, poz. 39, poz. 1844, poz. 1846, poz.2054, poz.426, poz.635, poz. 680) stanowi, że nie później niż do 30 czerwca roku następującego po roku budżetowym, organ stanowiący jednostki samorządu terytorialnego podejmuje uchwałę w sprawie absolutorium, po zapoznaniu się z:</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1)</w:t>
        <w:tab/>
        <w:t>Sprawozdaniem z wykonania budżetu jednostki samorządu terytorialnego,</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2)</w:t>
        <w:tab/>
        <w:t>Sprawozdaniem finansowym,</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3)</w:t>
        <w:tab/>
        <w:t>Opinią Regionalnej Izby Obrachunkowej, zgodnie z art. 270 ust. 2 ustawy,</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4)</w:t>
        <w:tab/>
        <w:t>Informacją o stanie mienia jednostki samorządu terytorialnego,</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5)</w:t>
        <w:tab/>
        <w:t>Stanowiskiem Komisji Rewizyjnej.</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 związku z powyższym podjęcie uchwały jest zasadne.</w:t>
      </w: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JaroszewskaM</dc:creator>
  <dcterms:created xsi:type="dcterms:W3CDTF">2026-06-24T08:55:27Z</dcterms:created>
  <cp:lastModifiedBy>JaroszewskaM</cp:lastModifiedBy>
  <dcterms:modified xsi:type="dcterms:W3CDTF">2026-07-03T09:45:50Z</dcterms:modified>
  <cp:revision>4</cp:revision>
  <dc:subject>w sprawie udzielenia Burmistrzowi Miasta i Gminy Górzno absolutorium z tytułu wykonania budżetu Miasta i Gminy za 2025 rok</dc:subject>
  <dc:title>Uchwała nr  XXVI/171/2026 z dnia 29 czerwca 2026 r.</dc:title>
</cp:coreProperties>
</file>