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A12859" Type="http://schemas.openxmlformats.org/officeDocument/2006/relationships/officeDocument" Target="/word/document.xml" /><Relationship Id="coreR2EA128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zostają zwiększone o kwotę 78 071,65 zł do kwoty 38 852 803,62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78 071,65 zł do kwoty 32 472 104,90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  <w:t>Na podstawie decyzji Wojewody Kujawsko-Pomorskiego nr WFB.I.3120.3.29.2026 z dnia 2 czerwca 2026 r.: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„Zapewnienie uczniom prawa do bezpłatnego dostępu do podręczników, materiałów edukacyjnych lub materiałów ćwiczeniowych” w ramach paragrafu „Dotacja celowa otrzymana z budżetu państwa na realizację zadań bieżących z zakresu administracji rządowej oraz innych zadań zleconych gminie (związkom gmin, związkom powiatowo-gminnym) ustawami” wprowadza się dochody w kwocie 76 106,16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wyposażenie szkół w podręczniki, materiały edukacyjne lub materiały ćwiczeniowe oraz na sfinansowanie kosztu zakupów podręczników, materiałów edukacyjnych lub materiałów ćwiczeniowych w przypadku szkół prowadzonych przez osoby prawne inne niż jednostki samorządu terytorialnego lub osoby fizyczne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decyzji Wojewody Kujawsko-Pomorskiego nr WFB.I.3120.3.35.2026 z dnia 25 czerwca 2026 r.: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„System opieki nad dziećmi w wieku do lat 3” w ramach paragrafu „Dotacja celowa otrzymana z budżetu państwa na realizację własnych zadań bieżących gmin (związków gmin, związków powiatowo-gminnych)” zwiększa się dochody o 1 965,49 zł do kwoty 52 898,49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 przeznaczeniem na wypłatę dodatków  motywacyjnych oraz kosztów składek od tych dodatków dla pracowników zatrudnionych w samorządowych instytucjach opieki na dziećmi w wieku do lat 3;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 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38 774 731,97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78 071,65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38 852 803,62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32 394 033,25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78 071,65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32 472 104,90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457 639,03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76 106,16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533 745,19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2 517 283,00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1 965,49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2 519 248,49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zostają zwiększone o kwotę 78 071,65 zł do kwoty 46 713 180,65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78 071,65 zł do kwoty 31 418 813,21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„Zapewnienie uczniom prawa do bezpłatnego dostępu do podręczników, materiałów edukacyjnych lub materiałów ćwiczeniowych” w ramach paragrafu „Dotacja celowa z budżetu na finansowanie lub dofinansowanie zadań zleconych do realizacji stowarzyszeniom” wprowadza się wydatki w kwocie 35 154,70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„Zapewnienie uczniom prawa do bezpłatnego dostępu do podręczników, materiałów edukacyjnych lub materiałów ćwiczeniowych” w ramach paragrafu „Zakup materiałów i wyposażenia” wprowadza się wydatki w kwocie 753,50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„Zapewnienie uczniom prawa do bezpłatnego dostępu do podręczników, materiałów edukacyjnych lub materiałów ćwiczeniowych” w ramach paragrafu „Zakup środków dydaktycznych i książek” wprowadza się wydatki w kwocie 40 197,96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„Pozostałe zadania w zakresie polityki społecznej” w rozdziale „Pozostała działalność” w ramach paragrafu „Zakup usług pozostałych” zwiększa się wydatki o 4 000,00 zł do kwoty 64 400,00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 (Klub Seniora)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„System opieki nad dziećmi w wieku do lat 3” w ramach paragrafu „Wynagrodzenia osobowe pracowników” zwiększa się wydatki o 1 965,49 zł do kwoty 308 639,03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„Gospodarka odpadami komunalnymi” w ramach paragrafu „Wynagrodzenia bezosobowe” wprowadza się wydatki w kwocie 8 000,00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„Utrzymanie zieleni w miastach i gminach” w ramach paragrafu „Zakup materiałów i wyposażenia” wprowadza się wydatki w kwocie 5 000,00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„Pozostała działalność” w ramach paragrafu „Zakup usług pozostałych” zwiększa się wydatki o 71,00 zł do kwoty 157 821,00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klasyfikacji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„Pozostałe zadania w zakresie polityki społecznej” w rozdziale „Pozostała działalność” w ramach paragrafu „Zakup środków żywności” zmniejsza się wydatki o 4 000,00 zł do kwoty 4 000,00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 (Klub Seniora)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„Gospodarka odpadami komunalnymi” w ramach paragrafu „Wynagrodzenia osobowe pracowników” zmniejsza się wydatki o 8 000,00 zł do kwoty 69 465,44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„Pozostała działalność” w ramach paragrafu „Zakup materiałów i wyposażenia” zmniejsza się wydatki o 71,00 zł do kwoty 11 529,00 zł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- zmiana klasyfikacji;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„Pozostała działalność” w ramach paragrafu „Zakup usług remontowych” zmniejsza się wydatki o 5 000,00 zł do kwoty 35 000,00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 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46 635 109,00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78 071,65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46 713 180,65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31 340 741,56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78 071,65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31 418 813,21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15 751 100,12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76 106,16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15 827 206,28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2 702 423,86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1 965,49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2 704 389,35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2026-07-08T12:18:45Z</dcterms:created>
  <cp:lastModifiedBy>JaroszewskaM</cp:lastModifiedBy>
  <dcterms:modified xsi:type="dcterms:W3CDTF">2026-07-08T11:11:24Z</dcterms:modified>
  <cp:revision>4</cp:revision>
  <dc:subject>w sprawie zmian w budżecie Miasta i Gminy Górzno na 2026 rok</dc:subject>
  <dc:title>Zarządzenie nr  206/2026 z dnia 30 czerwca 2026 r.</dc:title>
</cp:coreProperties>
</file>