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66455E0" Type="http://schemas.openxmlformats.org/officeDocument/2006/relationships/officeDocument" Target="/word/document.xml" /><Relationship Id="coreR766455E0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rPr>
          <w:rFonts w:ascii="Times New Roman" w:hAnsi="Times New Roman"/>
          <w:sz w:val="22"/>
        </w:rPr>
      </w:pPr>
    </w:p>
    <w:p>
      <w:pPr>
        <w:keepNext w:val="1"/>
        <w:spacing w:lineRule="auto" w:line="240" w:before="0" w:after="480" w:beforeAutospacing="0" w:afterAutospacing="0"/>
        <w:ind w:firstLine="0" w:left="0" w:right="0"/>
        <w:jc w:val="center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1"/>
          <w:caps w:val="0"/>
          <w:sz w:val="22"/>
        </w:rPr>
        <w:t>Objaśnienia przyjętych wartości do Wieloletniej Prognozy Finansowej Miasta i Gminy Górzno na lata 2026-2035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Zgodnie ze zmianami w budżecie na dzień 20 lipca 2026 r., dokonano następujących zmian w 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1.Dochody ogółem zwiększono o 2 400 532,23 zł, z czego dochody bieżące zwiększono o 151 757,27 zł, a dochody majątkowe zwiększono o 2 248 774,96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2.Wydatki ogółem zwiększono o 3 680 195,31 zł, z czego wydatki bieżące zwiększono o 96 538,63 zł, a wydatki majątkowe zwiększono o 3 583 656,68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3.Wynik budżetu jest deficytowy i po zmianach wynosi -9 140 040,11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hAnsi="Times New Roman"/>
          <w:b w:val="0"/>
          <w:caps w:val="0"/>
          <w:strike w:val="0"/>
          <w:color w:val="auto"/>
          <w:sz w:val="22"/>
          <w:u w:val="none"/>
        </w:rPr>
        <w:t>Szczegółowe informacje na temat zmian w zakresie dochodów, wydatków i wyniku budżetu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auto"/>
          <w:sz w:val="22"/>
          <w:u w:val="none"/>
          <w:vertAlign w:val="baseline"/>
        </w:rPr>
        <w:t>Zmiany w dochodach i wydatkach w 2026 roku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Wyszczególnienie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Dochody ogółem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38 774 731,97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+2 400 532,23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41 175 264,20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Dochody bieżące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32 394 033,25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+151 757,27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32 545 790,52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Dotacje bieżące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3 917 549,03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+95 757,27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4 013 306,30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Pozostałe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5 688 564,22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+56 000,00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5 744 564,22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Dochody majątkowe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6 380 698,72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+2 248 774,96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8 629 473,68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Wydatki ogółem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46 635 109,00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+3 680 195,31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50 315 304,31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Wydatki bieżące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31 340 741,56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+96 538,63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31 437 280,19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Wynagrodzenia i pochodne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11 573 005,48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+8 415,49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11 581 420,97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Pozostałe wydatki bieżące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19 158 103,86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+88 123,14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19 246 227,00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Wydatki majątkowe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15 294 367,44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+3 583 656,68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18 878 024,12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Wynik budżetu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-7 860 377,03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-1 279 663,08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-9 140 040,11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Wieloletniej Prognozie Finansowej Miasta i Gminy Górzno: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1.Przychody ogółem w roku budżetowym zwiększono o 1 279 663,08 zł i po zmianach wynoszą 9 659 040,11 zł.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2.Rozchody ogółem w roku budżetowym nie uległy zmianie.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informacje na temat zmian w zakresie przychodów i rozchodów w roku budżetowym przedstawiono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przychodach i rozchodach na 2026 rok.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Wyszczególnienie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Przed zmianą [zł]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Zmiana [zł]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Po zmianie [zł]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Przychody budżetu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8 379 377,03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+1 279 663,08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9 659 040,11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Nadwyżka budżetowa z lat ubiegłych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60 544,01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+1 248 885,79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1 309 429,80</w:t>
            </w:r>
          </w:p>
        </w:tc>
      </w:tr>
      <w:tr>
        <w:tblPrEx>
          <w:tblW w:w="5000" w:type="pct"/>
          <w:tblLayout w:type="fixed"/>
        </w:tblPrEx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Wolne środki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6 318 833,02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+30 777,29</w:t>
            </w:r>
          </w:p>
        </w:tc>
        <w:tc>
          <w:tcPr>
            <w:tcW w:w="252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6 349 610,31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2027 nie dokonywano zmian w zakresie planowanych przychodów.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 2027 nie dokonywano zmian w zakresie planowanych rozchodów.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Wieloletniej Prognozie Finansowej Miasta i Gminy Górzno na lata 2026-2035 spowodowały modyfikacje w kształtowaniu się relacji z art. 243 ustawy o finansach publicznych. Szczegóły zaprezentowano w tabeli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1"/>
          <w:i w:val="0"/>
          <w:caps w:val="0"/>
          <w:strike w:val="0"/>
          <w:color w:val="000000"/>
          <w:sz w:val="22"/>
          <w:u w:val="none" w:color="000000"/>
          <w:vertAlign w:val="baseline"/>
        </w:rPr>
        <w:t>Kształtowanie się relacji z art. 243 ust. 1 ustawy o finansach publicznych</w:t>
      </w:r>
    </w:p>
    <w:tbl>
      <w:tblPr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left w:w="108" w:type="dxa"/>
          <w:right w:w="108" w:type="dxa"/>
        </w:tblCellMar>
      </w:tblPr>
      <w:tblGrid/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Rok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Obsługa zadłużenia (fakt. i plan. po wyłączeniach)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Maksymalna obsługa zadłużenia (wg planu po III kwartale)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Zachowanie relacji z art. 243 (w oparciu o plan po III kwartale)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Maksymalna obsługa zadłużenia (wg wykonania)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 w:val="1"/>
                <w:sz w:val="20"/>
              </w:rPr>
              <w:t>Zachowanie relacji z art. 243 (w oparciu o wykonanie)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2026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3,67%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12,20%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13,62%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2027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2,71%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11,79%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13,20%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2028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3,01%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11,45%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12,87%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2029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2,84%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10,47%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11,89%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2030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2,90%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8,72%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10,13%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2031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2,64%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8,21%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9,63%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2032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3,09%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8,00%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9,41%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2033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2,88%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7,79%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7,79%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2034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2,47%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7,75%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7,75%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  <w:tr>
        <w:tblPrEx>
          <w:tblW w:w="5000" w:type="pct"/>
          <w:tblLayout w:type="fixed"/>
        </w:tblPrEx>
        <w:tc>
          <w:tcPr>
            <w:tcW w:w="9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2035</w:t>
            </w:r>
          </w:p>
        </w:tc>
        <w:tc>
          <w:tcPr>
            <w:tcW w:w="184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1,50%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7,58%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  <w:tc>
          <w:tcPr>
            <w:tcW w:w="1830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righ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7,58%</w:t>
            </w:r>
          </w:p>
        </w:tc>
        <w:tc>
          <w:tcPr>
            <w:tcW w:w="181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noWrap w:val="0"/>
            <w:textDirection w:val="lrTb"/>
            <w:vAlign w:val="center"/>
          </w:tcPr>
          <w:p>
            <w:pPr>
              <w:spacing w:before="0" w:after="0" w:beforeAutospacing="0" w:afterAutospacing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TAK</w:t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Dane w tabeli powyżej wskazują, że w całym okresie prognozy Miasto i Gmina Górzno spełnia relację, o której mowa w art. 243 ust. 1 ustawy o finansach publicznych. Spełnienie dotyczy zarówno relacji obliczonej na podstawie planu na dzień 30.09.2025 r. jak i w oparciu o dane z wykonania budżetu.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Zmiana Wieloletniej Prognozy Finansowej Miasta i Gminy Górzno obejmuje również zmiany w załączniku nr 2, które szczegółowo opisano poniżej.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Dokonano zmian w zakresie następujących przedsięwzięć: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1.Rozbudowa drogi powiatowej Nr 1837C na odcinku ulic: Nowe Osiedle, Freta, Kościelna, Rynek, Kościuszki, 11 Listopada, 3 Maja w msc. Górzno;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2.Budowa ogólnodostępnego terenu sportowo-rekreacyjnego w m. Szynkówko.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wykazane w pozostałych pozycjach WPF, stanowią informacje uzupełniające względem pozycji opisanych powyżej. Zostały przedstawione w WPF zgodnie z obowiązującym stanem faktycznym, na podstawie zawartych umów i porozumień.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Pełen zakres zmian obrazują załączniki nr 1 i 2 do niniejszej uchwały.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2026-07-17T08:55:23Z</dcterms:created>
  <cp:lastModifiedBy>JaroszewskaM</cp:lastModifiedBy>
  <dcterms:modified xsi:type="dcterms:W3CDTF">2026-07-20T12:04:09Z</dcterms:modified>
  <cp:revision>5</cp:revision>
  <dc:subject>w sprawie zmiany Wieloletniej Prognozy Finansowej Miasta i Gminy Górzno na lata 2026-2035</dc:subject>
  <dc:title>Uchwała nr  XXVII/176/2026 z dnia 20 lipca 2026 r.</dc:title>
</cp:coreProperties>
</file>