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EB5D686" Type="http://schemas.openxmlformats.org/officeDocument/2006/relationships/officeDocument" Target="/word/document.xml" /><Relationship Id="coreR2EB5D68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Podjęcie niniejszej uchwały wynika z konieczności uszczelnienia gminnego systemu gospodarowania odpadami komunalnymi i optymalizacji jego kosztów. Zmiana ta jest bezpośrednio spowodowana doposażeniem Punktu Selektywnej Zbiórki Odpadów Komunalnych (PSZOK) w nową wagę co powoduje konieczność modyfikacji dotychczasowego sposobu rozliczania i zmiany jednostki miary limitów z metrów sześciennych (m3) na kilogramy (kg). Taki sposób weryfikacji pozwoli na znacznie bardziej precyzyjne kontrolowanie strumienia dostarczanych odpadów.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Wprowadzenie rocznych limitów wagowych na odpady wielkogabarytowe oraz budowlane pozwoli zabezpieczyć budżet gminy przed nadmiernymi wydatkami i zapobiegnie oddawaniu odpadów pochodzących z działalności gospodarczej. Projekt uchwały uzyskał wymaganą przepisami prawa pozytywną opinię Państwowego Powiatowego Inspektora Sanitarnego w Brodnicy.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Mając na uwadze powyższe, podjęcie niniejszej uchwały jest zasadne.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2026-07-17T09:14:23Z</dcterms:created>
  <cp:lastModifiedBy>JaroszewskaM</cp:lastModifiedBy>
  <dcterms:modified xsi:type="dcterms:W3CDTF">2026-07-20T12:06:27Z</dcterms:modified>
  <cp:revision>3</cp:revision>
  <dc:subject>zmieniająca uchwałę nr XXIII/154/2026 Rady Miejskiej w Górznie w sprawie szczegółowego sposobu i zakresu świadczenia usług w zakresie odbierania odpadów komunalnych od właścicieli nieruchomości i zagospodarowania tych odpadów, w zamian za uiszczoną przez właściciela nieruchomości opłatę za gospodarowanie odpadami komunalnymi</dc:subject>
  <dc:title>Uchwała nr  XXVII/179/2026 z dnia 20 lipca 2026 r.</dc:title>
</cp:coreProperties>
</file>