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023F98C" Type="http://schemas.openxmlformats.org/officeDocument/2006/relationships/officeDocument" Target="/word/document.xml" /><Relationship Id="coreR3023F98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</w:tabs>
        <w:spacing w:lineRule="auto" w:line="360" w:beforeAutospacing="0" w:afterAutospacing="0"/>
        <w:jc w:val="center"/>
        <w:rPr>
          <w:b w:val="1"/>
          <w:color w:val="000000"/>
          <w:sz w:val="24"/>
          <w:shd w:val="clear" w:color="auto" w:fill="FFFFFF"/>
        </w:rPr>
      </w:pPr>
      <w:r>
        <w:rPr>
          <w:b w:val="1"/>
          <w:color w:val="000000"/>
          <w:sz w:val="24"/>
          <w:shd w:val="clear" w:color="auto" w:fill="FFFFFF"/>
        </w:rPr>
        <w:t>UZASADNIENIE</w:t>
      </w:r>
    </w:p>
    <w:p>
      <w:pPr>
        <w:pStyle w:val="P1"/>
        <w:keepNext w:val="1"/>
        <w:rPr>
          <w:sz w:val="22"/>
          <w:lang w:val="pl-PL" w:bidi="pl-PL" w:eastAsia="pl-PL"/>
        </w:rPr>
      </w:pPr>
    </w:p>
    <w:p>
      <w:pPr>
        <w:pStyle w:val="P1"/>
      </w:pPr>
      <w:r>
        <w:t>DOCHODY</w:t>
      </w:r>
    </w:p>
    <w:p>
      <w:r>
        <w:rPr>
          <w:rFonts w:ascii="Times New Roman CE" w:hAnsi="Times New Roman CE"/>
        </w:rPr>
        <w:t>Dochody budżetu Miasta i Gminy Górzno na rok 2026 zostają zwiększone o kwotę 23 332,00 zł do kwoty 41 198 596,20 zł, w tym:</w:t>
      </w:r>
    </w:p>
    <w:p>
      <w:pPr>
        <w:pStyle w:val="P2"/>
        <w:numPr>
          <w:ilvl w:val="0"/>
          <w:numId w:val="249"/>
        </w:numPr>
      </w:pPr>
      <w:r>
        <w:rPr>
          <w:rFonts w:ascii="Times New Roman CE" w:hAnsi="Times New Roman CE"/>
        </w:rPr>
        <w:t>dochody bieżące ulegają zwiększeniu o kwotę 23 332,00 zł do kwoty 32 569 122,52 zł,</w:t>
      </w:r>
    </w:p>
    <w:p>
      <w:pPr>
        <w:pStyle w:val="P2"/>
        <w:numPr>
          <w:ilvl w:val="0"/>
          <w:numId w:val="249"/>
        </w:numPr>
      </w:pPr>
      <w:r>
        <w:rPr>
          <w:rFonts w:ascii="Times New Roman CE" w:hAnsi="Times New Roman CE"/>
        </w:rPr>
        <w:t>dochody majątkowe nie uległy zmianie.</w:t>
      </w:r>
    </w:p>
    <w:p>
      <w:pPr>
        <w:pStyle w:val="P1"/>
        <w:rPr>
          <w:rFonts w:ascii="Times New Roman CE" w:hAnsi="Times New Roman CE"/>
        </w:rPr>
      </w:pPr>
      <w:r>
        <w:rPr>
          <w:rFonts w:ascii="Times New Roman CE" w:hAnsi="Times New Roman CE"/>
        </w:rPr>
        <w:t>Dokonuje się następujących zwiększeń po stronie dochodów bieżących:</w:t>
      </w:r>
    </w:p>
    <w:p>
      <w:pPr>
        <w:pStyle w:val="P1"/>
        <w:rPr>
          <w:rFonts w:ascii="Times New Roman CE" w:hAnsi="Times New Roman CE"/>
        </w:rPr>
      </w:pPr>
    </w:p>
    <w:p>
      <w:pPr>
        <w:pStyle w:val="P1"/>
        <w:keepNext w:val="1"/>
        <w:ind w:left="709"/>
        <w:rPr>
          <w:sz w:val="22"/>
        </w:rPr>
      </w:pPr>
      <w:r>
        <w:rPr>
          <w:sz w:val="22"/>
          <w:lang w:val="pl-PL" w:bidi="pl-PL" w:eastAsia="pl-PL"/>
        </w:rPr>
        <w:t>Na podstawie decyzji Wojewody Kujawsko-Pomorskiego nr WFB.I.3120.3.41.2026 z dnia 15 lipca 2026 r.:</w:t>
      </w:r>
    </w:p>
    <w:p>
      <w:pPr>
        <w:pStyle w:val="P2"/>
        <w:numPr>
          <w:ilvl w:val="0"/>
          <w:numId w:val="250"/>
        </w:numPr>
      </w:pPr>
      <w:r>
        <w:rPr>
          <w:rFonts w:ascii="Times New Roman CE" w:hAnsi="Times New Roman CE"/>
        </w:rPr>
        <w:t>w dziale „Pomoc społeczna” w rozdziale „Ośrodki pomocy społecznej” w ramach paragrafu „Dotacja celowa otrzymana z budżetu państwa na realizację własnych zadań bieżących gmin (związków gmin, związków powiatowo-gminnych)” zwiększa się dochody o 23 332,00 zł do kwoty 135 624,00 zł</w:t>
      </w:r>
      <w:r>
        <w:rPr>
          <w:rFonts w:ascii="Times New Roman CE" w:hAnsi="Times New Roman CE"/>
          <w:lang w:val="pl-PL" w:bidi="pl-PL" w:eastAsia="pl-PL"/>
        </w:rPr>
        <w:t xml:space="preserve"> - </w:t>
      </w:r>
      <w:r>
        <w:rPr>
          <w:rFonts w:ascii="Times New Roman CE" w:hAnsi="Times New Roman CE"/>
          <w:b w:val="1"/>
          <w:lang w:val="pl-PL" w:bidi="pl-PL" w:eastAsia="pl-PL"/>
        </w:rPr>
        <w:t>z przeznaczeniem na realizację rządowego programu "Dofinansowanie wynagrodzeń pracowników jednostek organizacyjnych pomocy społecznej w postaci dodatku motywacyjnego na lata 2024-2027</w:t>
      </w:r>
      <w:r>
        <w:rPr>
          <w:rFonts w:ascii="Times New Roman CE" w:hAnsi="Times New Roman CE"/>
        </w:rPr>
        <w:t>;</w:t>
      </w:r>
    </w:p>
    <w:p>
      <w:r>
        <w:rPr>
          <w:rFonts w:ascii="Times New Roman CE" w:hAnsi="Times New Roman CE"/>
        </w:rPr>
        <w:t>Podsumowanie zmian dochodów Miasta i Gminy Górzno przedstawia tabela poniżej.</w:t>
      </w:r>
    </w:p>
    <w:tbl>
      <w:tblPr>
        <w:tblStyle w:val="T2"/>
        <w:tblW w:w="5000" w:type="pct"/>
        <w:tblInd w:w="5" w:type="dxa"/>
        <w:tblLayout w:type="autofit"/>
        <w:tblLook w:val="04A0"/>
      </w:tblPr>
      <w:tblGrid/>
      <w:tr>
        <w:trPr>
          <w:tblHeader/>
        </w:trPr>
        <w:tc>
          <w:tcPr>
            <w:tcW w:w="2750" w:type="pct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3C3F49"/>
          </w:tcPr>
          <w:p>
            <w:pPr>
              <w:pStyle w:val="P3"/>
            </w:pPr>
            <w:r>
              <w:t>Wyszczególnienie</w:t>
            </w:r>
          </w:p>
        </w:tc>
        <w:tc>
          <w:tcPr>
            <w:tcW w:w="750" w:type="pct"/>
            <w:tcBorders>
              <w:top w:val="single" w:sz="4" w:space="0" w:shadow="0" w:frame="0" w:color="FFFFFF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3C3F49"/>
          </w:tcPr>
          <w:p>
            <w:pPr>
              <w:pStyle w:val="P3"/>
            </w:pPr>
            <w:r>
              <w:rPr>
                <w:rFonts w:ascii="Times New Roman CE" w:hAnsi="Times New Roman CE"/>
              </w:rPr>
              <w:t>Przed zmianą</w:t>
            </w:r>
          </w:p>
        </w:tc>
        <w:tc>
          <w:tcPr>
            <w:tcW w:w="750" w:type="pct"/>
            <w:tcBorders>
              <w:top w:val="single" w:sz="4" w:space="0" w:shadow="0" w:frame="0" w:color="FFFFFF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3C3F49"/>
          </w:tcPr>
          <w:p>
            <w:pPr>
              <w:pStyle w:val="P3"/>
            </w:pPr>
            <w:r>
              <w:t>Zmiana</w:t>
            </w:r>
          </w:p>
        </w:tc>
        <w:tc>
          <w:tcPr>
            <w:tcW w:w="750" w:type="pct"/>
            <w:tcBorders>
              <w:top w:val="single" w:sz="4" w:space="0" w:shadow="0" w:frame="0" w:color="FFFFFF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FFFFFF"/>
            </w:tcBorders>
            <w:shd w:val="clear" w:color="auto" w:fill="3C3F49"/>
          </w:tcPr>
          <w:p>
            <w:pPr>
              <w:pStyle w:val="P3"/>
            </w:pPr>
            <w:r>
              <w:t>Po zmianie</w:t>
            </w:r>
          </w:p>
        </w:tc>
      </w:tr>
      <w:tr>
        <w:tc>
          <w:tcPr>
            <w:tcW w:w="2750" w:type="pct"/>
            <w:tcBorders>
              <w:top w:val="single" w:sz="4" w:space="0" w:shadow="0" w:frame="0" w:color="DADBDC"/>
              <w:left w:val="single" w:sz="4" w:space="0" w:shadow="0" w:frame="0" w:color="FFFFFF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4"/>
            </w:pPr>
            <w:r>
              <w:rPr>
                <w:rFonts w:ascii="Times New Roman CE" w:hAnsi="Times New Roman CE"/>
              </w:rPr>
              <w:t>dochody ogółem: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5"/>
            </w:pPr>
            <w:r>
              <w:t>41 175 264,20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5"/>
            </w:pPr>
            <w:r>
              <w:t>23 332,00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FFFFFF"/>
            </w:tcBorders>
            <w:shd w:val="clear" w:color="auto" w:fill="FFFFFF"/>
          </w:tcPr>
          <w:p>
            <w:pPr>
              <w:pStyle w:val="P5"/>
            </w:pPr>
            <w:r>
              <w:t>41 198 596,20</w:t>
            </w:r>
          </w:p>
        </w:tc>
      </w:tr>
      <w:tr>
        <w:tc>
          <w:tcPr>
            <w:tcW w:w="2750" w:type="pct"/>
            <w:tcBorders>
              <w:top w:val="single" w:sz="4" w:space="0" w:shadow="0" w:frame="0" w:color="DADBDC"/>
              <w:left w:val="single" w:sz="4" w:space="0" w:shadow="0" w:frame="0" w:color="FFFFFF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4"/>
            </w:pPr>
            <w:r>
              <w:rPr>
                <w:rFonts w:ascii="Times New Roman CE" w:hAnsi="Times New Roman CE"/>
              </w:rPr>
              <w:t>dochody bieżące, w tym: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5"/>
            </w:pPr>
            <w:r>
              <w:t>32 545 790,52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5"/>
            </w:pPr>
            <w:r>
              <w:t>23 332,00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FFFFFF"/>
            </w:tcBorders>
            <w:shd w:val="clear" w:color="auto" w:fill="FFFFFF"/>
          </w:tcPr>
          <w:p>
            <w:pPr>
              <w:pStyle w:val="P5"/>
            </w:pPr>
            <w:r>
              <w:t>32 569 122,52</w:t>
            </w:r>
          </w:p>
        </w:tc>
      </w:tr>
      <w:tr>
        <w:tc>
          <w:tcPr>
            <w:tcW w:w="2750" w:type="pct"/>
            <w:tcBorders>
              <w:top w:val="single" w:sz="4" w:space="0" w:shadow="0" w:frame="0" w:color="DADBDC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6"/>
            </w:pPr>
            <w:r>
              <w:rPr>
                <w:rFonts w:ascii="Times New Roman CE" w:hAnsi="Times New Roman CE"/>
              </w:rPr>
              <w:t>Pomoc społeczna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FFFFFF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5"/>
            </w:pPr>
            <w:r>
              <w:t>385 812,34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FFFFFF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5"/>
            </w:pPr>
            <w:r>
              <w:t>23 332,00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FFFFFF"/>
              <w:right w:val="single" w:sz="4" w:space="0" w:shadow="0" w:frame="0" w:color="FFFFFF"/>
            </w:tcBorders>
            <w:shd w:val="clear" w:color="auto" w:fill="FFFFFF"/>
          </w:tcPr>
          <w:p>
            <w:pPr>
              <w:pStyle w:val="P5"/>
            </w:pPr>
            <w:r>
              <w:t>409 144,34</w:t>
            </w:r>
          </w:p>
        </w:tc>
      </w:tr>
    </w:tbl>
    <w:p/>
    <w:p>
      <w:pPr>
        <w:pStyle w:val="P1"/>
      </w:pPr>
      <w:r>
        <w:t>WYDATKI</w:t>
      </w:r>
    </w:p>
    <w:p>
      <w:r>
        <w:rPr>
          <w:rFonts w:ascii="Times New Roman CE" w:hAnsi="Times New Roman CE"/>
        </w:rPr>
        <w:t>Wydatki budżetu Miasta i Gminy Górzno na rok 2026 zostają zwiększone o kwotę 23 332,00 zł do kwoty 50 338 636,31 zł, w tym:</w:t>
      </w:r>
    </w:p>
    <w:p>
      <w:pPr>
        <w:pStyle w:val="P2"/>
        <w:numPr>
          <w:ilvl w:val="0"/>
          <w:numId w:val="251"/>
        </w:numPr>
      </w:pPr>
      <w:r>
        <w:rPr>
          <w:rFonts w:ascii="Times New Roman CE" w:hAnsi="Times New Roman CE"/>
        </w:rPr>
        <w:t>wydatki bieżące ulegają zwiększeniu o kwotę 23 332,00 zł do kwoty 31 460 612,19 zł,</w:t>
      </w:r>
    </w:p>
    <w:p>
      <w:pPr>
        <w:pStyle w:val="P2"/>
        <w:numPr>
          <w:ilvl w:val="0"/>
          <w:numId w:val="251"/>
        </w:numPr>
      </w:pPr>
      <w:r>
        <w:rPr>
          <w:rFonts w:ascii="Times New Roman CE" w:hAnsi="Times New Roman CE"/>
        </w:rPr>
        <w:t>wydatki majątkowe nie uległy zmianie.</w:t>
      </w:r>
    </w:p>
    <w:p>
      <w:pPr>
        <w:pStyle w:val="P1"/>
      </w:pPr>
      <w:r>
        <w:rPr>
          <w:rFonts w:ascii="Times New Roman CE" w:hAnsi="Times New Roman CE"/>
        </w:rPr>
        <w:t>Dokonuje się następujących zwiększeń po stronie wydatków bieżących:</w:t>
      </w:r>
    </w:p>
    <w:p>
      <w:pPr>
        <w:pStyle w:val="P2"/>
        <w:numPr>
          <w:ilvl w:val="0"/>
          <w:numId w:val="252"/>
        </w:numPr>
      </w:pPr>
      <w:r>
        <w:rPr>
          <w:rFonts w:ascii="Times New Roman CE" w:hAnsi="Times New Roman CE"/>
        </w:rPr>
        <w:t>w dziale „Administracja publiczna” w rozdziale „Urzędy gmin (miast i miast na prawach powiatu)” w ramach paragrafu „Zakup materiałów i wyposażenia” zwiększa się wydatki o 10 600,00 zł do kwoty 106 500,00 zł</w:t>
      </w:r>
      <w:r>
        <w:rPr>
          <w:rFonts w:ascii="Times New Roman CE" w:hAnsi="Times New Roman CE"/>
          <w:lang w:val="pl-PL" w:bidi="pl-PL" w:eastAsia="pl-PL"/>
        </w:rPr>
        <w:t xml:space="preserve"> - </w:t>
      </w:r>
      <w:r>
        <w:rPr>
          <w:rFonts w:ascii="Times New Roman CE" w:hAnsi="Times New Roman CE"/>
          <w:b w:val="1"/>
          <w:lang w:val="pl-PL" w:bidi="pl-PL" w:eastAsia="pl-PL"/>
        </w:rPr>
        <w:t>przesunięcie środków na zakup pelletu do urzędu</w:t>
      </w:r>
      <w:r>
        <w:rPr>
          <w:rFonts w:ascii="Times New Roman CE" w:hAnsi="Times New Roman CE"/>
        </w:rPr>
        <w:t>;</w:t>
      </w:r>
    </w:p>
    <w:p>
      <w:pPr>
        <w:pStyle w:val="P2"/>
        <w:numPr>
          <w:ilvl w:val="0"/>
          <w:numId w:val="252"/>
        </w:numPr>
      </w:pPr>
      <w:r>
        <w:rPr>
          <w:rFonts w:ascii="Times New Roman CE" w:hAnsi="Times New Roman CE"/>
        </w:rPr>
        <w:t>w dziale „Administracja publiczna” w rozdziale „Promocja jednostek samorządu terytorialnego” w ramach paragrafu „Zakup usług pozostałych” zwiększa się wydatki o 10 400,00 zł do kwoty 25 375,00 zł</w:t>
      </w:r>
      <w:r>
        <w:rPr>
          <w:rFonts w:ascii="Times New Roman CE" w:hAnsi="Times New Roman CE"/>
          <w:lang w:val="pl-PL" w:bidi="pl-PL" w:eastAsia="pl-PL"/>
        </w:rPr>
        <w:t xml:space="preserve"> - </w:t>
      </w:r>
      <w:r>
        <w:rPr>
          <w:rFonts w:ascii="Times New Roman CE" w:hAnsi="Times New Roman CE"/>
          <w:b w:val="1"/>
          <w:lang w:val="pl-PL" w:bidi="pl-PL" w:eastAsia="pl-PL"/>
        </w:rPr>
        <w:t>przesunięcie środków</w:t>
      </w:r>
      <w:r>
        <w:rPr>
          <w:rFonts w:ascii="Times New Roman CE" w:hAnsi="Times New Roman CE"/>
        </w:rPr>
        <w:t>;</w:t>
      </w:r>
    </w:p>
    <w:p>
      <w:pPr>
        <w:pStyle w:val="P2"/>
        <w:ind w:left="709"/>
        <w:rPr>
          <w:b w:val="1"/>
          <w:lang w:val="pl-PL" w:bidi="pl-PL" w:eastAsia="pl-PL"/>
        </w:rPr>
      </w:pPr>
    </w:p>
    <w:p>
      <w:pPr>
        <w:pStyle w:val="P2"/>
        <w:ind w:left="709"/>
        <w:rPr>
          <w:b w:val="1"/>
        </w:rPr>
      </w:pPr>
      <w:r>
        <w:rPr>
          <w:b w:val="1"/>
          <w:lang w:val="pl-PL" w:bidi="pl-PL" w:eastAsia="pl-PL"/>
        </w:rPr>
        <w:t>Na podstawie wniosku Dyrektor Zespołu Szkół w Górznie nr ZS.353.3.2026 z dnia 17 lipca 2026 r.:</w:t>
      </w:r>
    </w:p>
    <w:p>
      <w:pPr>
        <w:pStyle w:val="P2"/>
        <w:numPr>
          <w:ilvl w:val="0"/>
          <w:numId w:val="252"/>
        </w:numPr>
      </w:pPr>
      <w:r>
        <w:rPr>
          <w:rFonts w:ascii="Times New Roman CE" w:hAnsi="Times New Roman CE"/>
        </w:rPr>
        <w:t>w dziale „Oświata i wychowanie” w rozdziale „Szkoły podstawowe” w ramach paragrafu „Wynagrodzenia osobowe pracowników” zwiększa się wydatki o 4 162,23 zł do kwoty 586 554,40 zł;</w:t>
      </w:r>
    </w:p>
    <w:p>
      <w:pPr>
        <w:pStyle w:val="P2"/>
        <w:numPr>
          <w:ilvl w:val="0"/>
          <w:numId w:val="252"/>
        </w:numPr>
      </w:pPr>
      <w:r>
        <w:rPr>
          <w:rFonts w:ascii="Times New Roman CE" w:hAnsi="Times New Roman CE"/>
        </w:rPr>
        <w:t>w dziale „Oświata i wychowanie” w rozdziale „Szkoły podstawowe” w ramach paragrafu „Wynagrodzenia bezosobowe” zwiększa się wydatki o 1 350,00 zł do kwoty 8 350,00 zł;</w:t>
      </w:r>
    </w:p>
    <w:p>
      <w:pPr>
        <w:pStyle w:val="P2"/>
        <w:numPr>
          <w:ilvl w:val="0"/>
          <w:numId w:val="252"/>
        </w:numPr>
      </w:pPr>
      <w:r>
        <w:rPr>
          <w:rFonts w:ascii="Times New Roman CE" w:hAnsi="Times New Roman CE"/>
        </w:rPr>
        <w:t>w dziale „Oświata i wychowanie” w rozdziale „Przedszkola” w ramach paragrafu „Wynagrodzenia osobowe pracowników” zwiększa się wydatki o 4 162,24 zł do kwoty 418 113,34 zł;</w:t>
      </w:r>
    </w:p>
    <w:p>
      <w:pPr>
        <w:pStyle w:val="P2"/>
        <w:numPr>
          <w:ilvl w:val="0"/>
          <w:numId w:val="252"/>
        </w:numPr>
      </w:pPr>
      <w:r>
        <w:rPr>
          <w:rFonts w:ascii="Times New Roman CE" w:hAnsi="Times New Roman CE"/>
        </w:rPr>
        <w:t>w dziale „Oświata i wychowanie” w rozdziale „Przedszkola” w ramach paragrafu „Opłaty na rzecz budżetów jednostek samorządu terytorialnego” zwiększa się wydatki o 2 400,00 zł do kwoty 6 100,00 zł;</w:t>
      </w:r>
    </w:p>
    <w:p>
      <w:pPr>
        <w:pStyle w:val="P2"/>
      </w:pPr>
    </w:p>
    <w:p>
      <w:pPr>
        <w:pStyle w:val="P2"/>
        <w:rPr>
          <w:b w:val="1"/>
        </w:rPr>
      </w:pPr>
      <w:r>
        <w:tab/>
      </w:r>
      <w:r>
        <w:rPr>
          <w:b w:val="1"/>
          <w:lang w:val="pl-PL" w:bidi="pl-PL" w:eastAsia="pl-PL"/>
        </w:rPr>
        <w:t xml:space="preserve">W związku ze zwiększeniem dotacji celowej: </w:t>
      </w:r>
    </w:p>
    <w:p>
      <w:pPr>
        <w:pStyle w:val="P2"/>
        <w:numPr>
          <w:ilvl w:val="0"/>
          <w:numId w:val="252"/>
        </w:numPr>
      </w:pPr>
      <w:r>
        <w:rPr>
          <w:rFonts w:ascii="Times New Roman CE" w:hAnsi="Times New Roman CE"/>
        </w:rPr>
        <w:t>w dziale „Pomoc społeczna” w rozdziale „Ośrodki pomocy społecznej” w ramach paragrafu „Wynagrodzenia osobowe pracowników” zwiększa się wydatki o 19 500,00 zł do kwoty 435 307,14 zł;</w:t>
      </w:r>
    </w:p>
    <w:p>
      <w:pPr>
        <w:pStyle w:val="P2"/>
        <w:numPr>
          <w:ilvl w:val="0"/>
          <w:numId w:val="252"/>
        </w:numPr>
      </w:pPr>
      <w:r>
        <w:rPr>
          <w:rFonts w:ascii="Times New Roman CE" w:hAnsi="Times New Roman CE"/>
        </w:rPr>
        <w:t>w dziale „Pomoc społeczna” w rozdziale „Ośrodki pomocy społecznej” w ramach paragrafu „Składki na ubezpieczenia społeczne” zwiększa się wydatki o 3 497,00 zł do kwoty 80 047,00 zł;</w:t>
      </w:r>
    </w:p>
    <w:p>
      <w:pPr>
        <w:pStyle w:val="P2"/>
        <w:numPr>
          <w:ilvl w:val="0"/>
          <w:numId w:val="252"/>
        </w:numPr>
      </w:pPr>
      <w:r>
        <w:rPr>
          <w:rFonts w:ascii="Times New Roman CE" w:hAnsi="Times New Roman CE"/>
        </w:rPr>
        <w:t>w dziale „Pomoc społeczna” w rozdziale „Ośrodki pomocy społecznej” w ramach paragrafu „Składki na Fundusz Pracy oraz Fundusz Solidarnościowy” zwiększa się wydatki o 335,00 zł do kwoty 7 715,43 zł;</w:t>
      </w:r>
    </w:p>
    <w:p>
      <w:pPr>
        <w:pStyle w:val="P2"/>
      </w:pPr>
    </w:p>
    <w:p>
      <w:pPr>
        <w:pStyle w:val="P2"/>
        <w:ind w:left="709"/>
        <w:rPr>
          <w:b w:val="1"/>
        </w:rPr>
      </w:pPr>
      <w:r>
        <w:rPr>
          <w:b w:val="1"/>
          <w:lang w:val="pl-PL" w:bidi="pl-PL" w:eastAsia="pl-PL"/>
        </w:rPr>
        <w:t>Na podstawie wniosku Kierownik Klubu Dziecięcego GórzMisie w Górznie nr KD.353.3.2026 z dnia 14 lipca 2026 r.:</w:t>
      </w:r>
    </w:p>
    <w:p>
      <w:pPr>
        <w:pStyle w:val="P2"/>
        <w:numPr>
          <w:ilvl w:val="0"/>
          <w:numId w:val="252"/>
        </w:numPr>
      </w:pPr>
      <w:r>
        <w:rPr>
          <w:rFonts w:ascii="Times New Roman CE" w:hAnsi="Times New Roman CE"/>
        </w:rPr>
        <w:t>w dziale „Rodzina” w rozdziale „System opieki nad dziećmi w wieku do lat 3” w ramach paragrafu „Zakup usług pozostałych” zwiększa się wydatki o 2 000,00 zł do kwoty 9 600,00 zł;</w:t>
      </w:r>
    </w:p>
    <w:p>
      <w:pPr>
        <w:pStyle w:val="P2"/>
        <w:numPr>
          <w:ilvl w:val="0"/>
          <w:numId w:val="252"/>
        </w:numPr>
      </w:pPr>
      <w:r>
        <w:rPr>
          <w:rFonts w:ascii="Times New Roman CE" w:hAnsi="Times New Roman CE"/>
        </w:rPr>
        <w:t>w dziale „Rodzina” w rozdziale „System opieki nad dziećmi w wieku do lat 3” w ramach paragrafu „Różne opłaty i składki” zwiększa się wydatki o 79,00 zł do kwoty 679,00 zł;</w:t>
      </w:r>
    </w:p>
    <w:p>
      <w:pPr>
        <w:pStyle w:val="P2"/>
        <w:numPr>
          <w:ilvl w:val="0"/>
          <w:numId w:val="252"/>
        </w:numPr>
      </w:pPr>
      <w:r>
        <w:rPr>
          <w:rFonts w:ascii="Times New Roman CE" w:hAnsi="Times New Roman CE"/>
        </w:rPr>
        <w:t>w dziale „Rodzina” w rozdziale „System opieki nad dziećmi w wieku do lat 3” w ramach paragrafu „Opłaty na rzecz budżetów jednostek samorządu terytorialnego” wprowadza się wydatki w kwocie 312,00 zł;</w:t>
      </w:r>
    </w:p>
    <w:p>
      <w:pPr>
        <w:pStyle w:val="P2"/>
        <w:numPr>
          <w:ilvl w:val="0"/>
          <w:numId w:val="252"/>
        </w:numPr>
      </w:pPr>
      <w:r>
        <w:rPr>
          <w:rFonts w:ascii="Times New Roman CE" w:hAnsi="Times New Roman CE"/>
        </w:rPr>
        <w:t>w dziale „Gospodarka komunalna i ochrona środowiska” w rozdziale „Pozostałe działania związane z gospodarką odpadami” w ramach paragrafu „Zakup usług pozostałych” zwiększa się wydatki o 5 218,64 zł do kwoty 62 010,91 zł;</w:t>
      </w:r>
    </w:p>
    <w:p>
      <w:pPr>
        <w:pStyle w:val="P1"/>
      </w:pPr>
      <w:r>
        <w:rPr>
          <w:rFonts w:ascii="Times New Roman CE" w:hAnsi="Times New Roman CE"/>
        </w:rPr>
        <w:t>Dokonuje się następujących zmniejszeń po stronie wydatków bieżących:</w:t>
      </w:r>
    </w:p>
    <w:p>
      <w:pPr>
        <w:pStyle w:val="P2"/>
        <w:numPr>
          <w:ilvl w:val="0"/>
          <w:numId w:val="253"/>
        </w:numPr>
      </w:pPr>
      <w:r>
        <w:rPr>
          <w:rFonts w:ascii="Times New Roman CE" w:hAnsi="Times New Roman CE"/>
        </w:rPr>
        <w:t>w dziale „Administracja publiczna” w rozdziale „Rady gmin (miast i miast na prawach powiatu)” w ramach paragrafu „Różne wydatki na rzecz osób fizycznych” zmniejsza się wydatki o 7 600,00 zł do kwoty 183 871,64 zł</w:t>
      </w:r>
      <w:r>
        <w:rPr>
          <w:rFonts w:ascii="Times New Roman CE" w:hAnsi="Times New Roman CE"/>
          <w:lang w:val="pl-PL" w:bidi="pl-PL" w:eastAsia="pl-PL"/>
        </w:rPr>
        <w:t xml:space="preserve"> </w:t>
      </w:r>
      <w:r>
        <w:rPr>
          <w:rFonts w:ascii="Times New Roman CE" w:hAnsi="Times New Roman CE"/>
          <w:shd w:val="clear" w:color="auto" w:fill="FFFFFF"/>
          <w:lang w:val="pl-PL" w:bidi="pl-PL" w:eastAsia="pl-PL"/>
        </w:rPr>
        <w:t xml:space="preserve">- </w:t>
      </w:r>
      <w:r>
        <w:rPr>
          <w:rFonts w:ascii="Times New Roman CE" w:hAnsi="Times New Roman CE"/>
          <w:b w:val="1"/>
          <w:shd w:val="clear" w:color="auto" w:fill="FFFFFF"/>
          <w:lang w:val="pl-PL" w:bidi="pl-PL" w:eastAsia="pl-PL"/>
        </w:rPr>
        <w:t>przesunięcie środków</w:t>
      </w:r>
      <w:r>
        <w:rPr>
          <w:rFonts w:ascii="Times New Roman CE" w:hAnsi="Times New Roman CE"/>
        </w:rPr>
        <w:t>;</w:t>
      </w:r>
    </w:p>
    <w:p>
      <w:pPr>
        <w:pStyle w:val="P2"/>
        <w:numPr>
          <w:ilvl w:val="0"/>
          <w:numId w:val="253"/>
        </w:numPr>
      </w:pPr>
      <w:r>
        <w:rPr>
          <w:rFonts w:ascii="Times New Roman CE" w:hAnsi="Times New Roman CE"/>
        </w:rPr>
        <w:t>w dziale „Administracja publiczna” w rozdziale „Urzędy gmin (miast i miast na prawach powiatu)” w ramach paragrafu „Różne opłaty i składki” zmniejsza się wydatki o 3 000,00 zł do kwoty 77 000,00 zł</w:t>
      </w:r>
      <w:r>
        <w:rPr>
          <w:rFonts w:ascii="Times New Roman CE" w:hAnsi="Times New Roman CE"/>
          <w:lang w:val="pl-PL" w:bidi="pl-PL" w:eastAsia="pl-PL"/>
        </w:rPr>
        <w:t xml:space="preserve"> </w:t>
      </w:r>
      <w:r>
        <w:rPr>
          <w:rFonts w:ascii="Times New Roman CE" w:hAnsi="Times New Roman CE"/>
          <w:shd w:val="clear" w:color="auto" w:fill="FFFFFF"/>
          <w:lang w:val="pl-PL" w:bidi="pl-PL" w:eastAsia="pl-PL"/>
        </w:rPr>
        <w:t xml:space="preserve">- </w:t>
      </w:r>
      <w:r>
        <w:rPr>
          <w:rFonts w:ascii="Times New Roman CE" w:hAnsi="Times New Roman CE"/>
          <w:b w:val="1"/>
          <w:shd w:val="clear" w:color="auto" w:fill="FFFFFF"/>
          <w:lang w:val="pl-PL" w:bidi="pl-PL" w:eastAsia="pl-PL"/>
        </w:rPr>
        <w:t>przesunięcie środków</w:t>
      </w:r>
      <w:r>
        <w:rPr>
          <w:rFonts w:ascii="Times New Roman CE" w:hAnsi="Times New Roman CE"/>
        </w:rPr>
        <w:t>;</w:t>
      </w:r>
    </w:p>
    <w:p>
      <w:pPr>
        <w:pStyle w:val="P2"/>
        <w:numPr>
          <w:ilvl w:val="0"/>
          <w:numId w:val="253"/>
        </w:numPr>
      </w:pPr>
      <w:r>
        <w:rPr>
          <w:rFonts w:ascii="Times New Roman CE" w:hAnsi="Times New Roman CE"/>
        </w:rPr>
        <w:t>w dziale „Administracja publiczna” w rozdziale „Promocja jednostek samorządu terytorialnego” w ramach paragrafu „Zakup materiałów i wyposażenia” zmniejsza się wydatki o 10 400,00 zł do kwoty 8 580,00 zł</w:t>
      </w:r>
      <w:r>
        <w:rPr>
          <w:rFonts w:ascii="Times New Roman CE" w:hAnsi="Times New Roman CE"/>
          <w:lang w:val="pl-PL" w:bidi="pl-PL" w:eastAsia="pl-PL"/>
        </w:rPr>
        <w:t xml:space="preserve"> - </w:t>
      </w:r>
      <w:r>
        <w:rPr>
          <w:rFonts w:ascii="Times New Roman CE" w:hAnsi="Times New Roman CE"/>
          <w:b w:val="1"/>
          <w:lang w:val="pl-PL" w:bidi="pl-PL" w:eastAsia="pl-PL"/>
        </w:rPr>
        <w:t>przesunięcie środków</w:t>
      </w:r>
      <w:r>
        <w:rPr>
          <w:rFonts w:ascii="Times New Roman CE" w:hAnsi="Times New Roman CE"/>
        </w:rPr>
        <w:t>;</w:t>
      </w:r>
    </w:p>
    <w:p>
      <w:pPr>
        <w:pStyle w:val="P2"/>
      </w:pPr>
    </w:p>
    <w:p>
      <w:pPr>
        <w:pStyle w:val="P2"/>
        <w:ind w:left="709"/>
      </w:pPr>
      <w:r>
        <w:rPr>
          <w:b w:val="1"/>
          <w:shd w:val="clear" w:color="auto" w:fill="FFFFFF"/>
          <w:lang w:val="pl-PL" w:bidi="pl-PL" w:eastAsia="pl-PL"/>
        </w:rPr>
        <w:t>Na podstawie wniosku Dyrektor Zespołu Szkół w Górznie nr ZS.353.3.2026 z dnia 17 lipca 2026 r.:</w:t>
      </w:r>
    </w:p>
    <w:p>
      <w:pPr>
        <w:pStyle w:val="P2"/>
        <w:numPr>
          <w:ilvl w:val="0"/>
          <w:numId w:val="253"/>
        </w:numPr>
      </w:pPr>
      <w:r>
        <w:rPr>
          <w:rFonts w:ascii="Times New Roman CE" w:hAnsi="Times New Roman CE"/>
        </w:rPr>
        <w:t>w dziale „Oświata i wychowanie” w rozdziale „Szkoły podstawowe” w ramach paragrafu „Dodatkowe wynagrodzenie roczne” zmniejsza się wydatki o 3 895,06 zł do kwoty 39 198,74 zł;</w:t>
      </w:r>
    </w:p>
    <w:p>
      <w:pPr>
        <w:pStyle w:val="P2"/>
        <w:numPr>
          <w:ilvl w:val="0"/>
          <w:numId w:val="253"/>
        </w:numPr>
      </w:pPr>
      <w:r>
        <w:rPr>
          <w:rFonts w:ascii="Times New Roman CE" w:hAnsi="Times New Roman CE"/>
        </w:rPr>
        <w:t>w dziale „Oświata i wychowanie” w rozdziale „Szkoły podstawowe” w ramach paragrafu „Dodatkowe wynagrodzenie roczne nauczycieli” zmniejsza się wydatki o 737,97 zł do kwoty 238 276,31 zł;</w:t>
      </w:r>
    </w:p>
    <w:p>
      <w:pPr>
        <w:pStyle w:val="P2"/>
        <w:numPr>
          <w:ilvl w:val="0"/>
          <w:numId w:val="253"/>
        </w:numPr>
      </w:pPr>
      <w:r>
        <w:rPr>
          <w:rFonts w:ascii="Times New Roman CE" w:hAnsi="Times New Roman CE"/>
        </w:rPr>
        <w:t>w dziale „Oświata i wychowanie” w rozdziale „Przedszkola” w ramach paragrafu „Dodatkowe wynagrodzenie roczne” zmniejsza się wydatki o 938,45 zł do kwoty 30 761,54 zł;</w:t>
      </w:r>
    </w:p>
    <w:p>
      <w:pPr>
        <w:pStyle w:val="P2"/>
        <w:numPr>
          <w:ilvl w:val="0"/>
          <w:numId w:val="253"/>
        </w:numPr>
      </w:pPr>
      <w:r>
        <w:rPr>
          <w:rFonts w:ascii="Times New Roman CE" w:hAnsi="Times New Roman CE"/>
        </w:rPr>
        <w:t>w dziale „Oświata i wychowanie” w rozdziale „Przedszkola” w ramach paragrafu „Dodatkowe wynagrodzenie roczne nauczycieli” zmniejsza się wydatki o 5 074,19 zł do kwoty 37 412,83 zł;</w:t>
      </w:r>
    </w:p>
    <w:p>
      <w:pPr>
        <w:pStyle w:val="P2"/>
        <w:numPr>
          <w:ilvl w:val="0"/>
          <w:numId w:val="253"/>
        </w:numPr>
      </w:pPr>
      <w:r>
        <w:rPr>
          <w:rFonts w:ascii="Times New Roman CE" w:hAnsi="Times New Roman CE"/>
        </w:rPr>
        <w:t>w dziale „Oświata i wychowanie” w rozdziale „Realizacja zadań wymagających stosowania specjalnej organizacji nauki i metod pracy dla dzieci i młodzieży w szkołach podstawowych” w ramach paragrafu „Dodatkowe wynagrodzenie roczne nauczycieli” zmniejsza się wydatki o 1 428,80 zł do kwoty 56 158,99 zł;</w:t>
      </w:r>
    </w:p>
    <w:p>
      <w:pPr>
        <w:pStyle w:val="P2"/>
        <w:ind w:left="709"/>
        <w:rPr>
          <w:b w:val="1"/>
          <w:lang w:val="pl-PL" w:bidi="pl-PL" w:eastAsia="pl-PL"/>
        </w:rPr>
      </w:pPr>
    </w:p>
    <w:p>
      <w:pPr>
        <w:pStyle w:val="P2"/>
        <w:ind w:left="709"/>
        <w:rPr>
          <w:b w:val="1"/>
        </w:rPr>
      </w:pPr>
      <w:r>
        <w:rPr>
          <w:b w:val="1"/>
          <w:lang w:val="pl-PL" w:bidi="pl-PL" w:eastAsia="pl-PL"/>
        </w:rPr>
        <w:t>Na podstawie wniosku Kierownik Klubu Dziecięcego GórzMisie w Górznie nr KD.353.3.2026 z dnia 14 lipca 2026 r.:</w:t>
      </w:r>
    </w:p>
    <w:p>
      <w:pPr>
        <w:pStyle w:val="P2"/>
        <w:numPr>
          <w:ilvl w:val="0"/>
          <w:numId w:val="253"/>
        </w:numPr>
      </w:pPr>
      <w:r>
        <w:rPr>
          <w:rFonts w:ascii="Times New Roman CE" w:hAnsi="Times New Roman CE"/>
        </w:rPr>
        <w:t>w dziale „Rodzina” w rozdziale „System opieki nad dziećmi w wieku do lat 3” w ramach paragrafu „Zakup materiałów i wyposażenia” zmniejsza się wydatki o 2 312,00 zł do kwoty 14 688,00 zł;</w:t>
      </w:r>
    </w:p>
    <w:p>
      <w:pPr>
        <w:pStyle w:val="P2"/>
        <w:numPr>
          <w:ilvl w:val="0"/>
          <w:numId w:val="253"/>
        </w:numPr>
      </w:pPr>
      <w:r>
        <w:rPr>
          <w:rFonts w:ascii="Times New Roman CE" w:hAnsi="Times New Roman CE"/>
        </w:rPr>
        <w:t>w dziale „Rodzina” w rozdziale „System opieki nad dziećmi w wieku do lat 3” w ramach paragrafu „Podróże służbowe krajowe” zmniejsza się wydatki o 79,00 zł do kwoty 521,00 zł;</w:t>
      </w:r>
    </w:p>
    <w:p>
      <w:pPr>
        <w:pStyle w:val="P2"/>
        <w:numPr>
          <w:ilvl w:val="0"/>
          <w:numId w:val="253"/>
        </w:numPr>
      </w:pPr>
      <w:r>
        <w:rPr>
          <w:rFonts w:ascii="Times New Roman CE" w:hAnsi="Times New Roman CE"/>
        </w:rPr>
        <w:t>w dziale „Gospodarka komunalna i ochrona środowiska” w rozdziale „Oświetlenie ulic, placów i dróg” w ramach paragrafu „Zakup usług pozostałych” zmniejsza się wydatki o 5 218,64 zł do kwoty 326 281,36 zł;</w:t>
      </w:r>
    </w:p>
    <w:p>
      <w:r>
        <w:rPr>
          <w:rFonts w:ascii="Times New Roman CE" w:hAnsi="Times New Roman CE"/>
        </w:rPr>
        <w:t>Podsumowanie zmian wydatków Miasta i Gminy Górzno przedstawia tabela poniżej.</w:t>
      </w:r>
    </w:p>
    <w:tbl>
      <w:tblPr>
        <w:tblStyle w:val="T2"/>
        <w:tblW w:w="5000" w:type="pct"/>
        <w:tblInd w:w="5" w:type="dxa"/>
        <w:tblLayout w:type="autofit"/>
        <w:tblLook w:val="04A0"/>
      </w:tblPr>
      <w:tblGrid/>
      <w:tr>
        <w:trPr>
          <w:tblHeader/>
        </w:trPr>
        <w:tc>
          <w:tcPr>
            <w:tcW w:w="2750" w:type="pct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3C3F49"/>
          </w:tcPr>
          <w:p>
            <w:pPr>
              <w:pStyle w:val="P3"/>
            </w:pPr>
            <w:r>
              <w:t>Wyszczególnienie</w:t>
            </w:r>
          </w:p>
        </w:tc>
        <w:tc>
          <w:tcPr>
            <w:tcW w:w="750" w:type="pct"/>
            <w:tcBorders>
              <w:top w:val="single" w:sz="4" w:space="0" w:shadow="0" w:frame="0" w:color="FFFFFF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3C3F49"/>
          </w:tcPr>
          <w:p>
            <w:pPr>
              <w:pStyle w:val="P3"/>
            </w:pPr>
            <w:r>
              <w:rPr>
                <w:rFonts w:ascii="Times New Roman CE" w:hAnsi="Times New Roman CE"/>
              </w:rPr>
              <w:t>Przed zmianą</w:t>
            </w:r>
          </w:p>
        </w:tc>
        <w:tc>
          <w:tcPr>
            <w:tcW w:w="750" w:type="pct"/>
            <w:tcBorders>
              <w:top w:val="single" w:sz="4" w:space="0" w:shadow="0" w:frame="0" w:color="FFFFFF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3C3F49"/>
          </w:tcPr>
          <w:p>
            <w:pPr>
              <w:pStyle w:val="P3"/>
            </w:pPr>
            <w:r>
              <w:t>Zmiana</w:t>
            </w:r>
          </w:p>
        </w:tc>
        <w:tc>
          <w:tcPr>
            <w:tcW w:w="750" w:type="pct"/>
            <w:tcBorders>
              <w:top w:val="single" w:sz="4" w:space="0" w:shadow="0" w:frame="0" w:color="FFFFFF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FFFFFF"/>
            </w:tcBorders>
            <w:shd w:val="clear" w:color="auto" w:fill="3C3F49"/>
          </w:tcPr>
          <w:p>
            <w:pPr>
              <w:pStyle w:val="P3"/>
            </w:pPr>
            <w:r>
              <w:t>Po zmianie</w:t>
            </w:r>
          </w:p>
        </w:tc>
      </w:tr>
      <w:tr>
        <w:tc>
          <w:tcPr>
            <w:tcW w:w="2750" w:type="pct"/>
            <w:tcBorders>
              <w:top w:val="single" w:sz="4" w:space="0" w:shadow="0" w:frame="0" w:color="DADBDC"/>
              <w:left w:val="single" w:sz="4" w:space="0" w:shadow="0" w:frame="0" w:color="FFFFFF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4"/>
            </w:pPr>
            <w:r>
              <w:rPr>
                <w:rFonts w:ascii="Times New Roman CE" w:hAnsi="Times New Roman CE"/>
              </w:rPr>
              <w:t>wydatki ogółem: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5"/>
            </w:pPr>
            <w:r>
              <w:t>50 315 304,31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5"/>
            </w:pPr>
            <w:r>
              <w:t>23 332,00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FFFFFF"/>
            </w:tcBorders>
            <w:shd w:val="clear" w:color="auto" w:fill="FFFFFF"/>
          </w:tcPr>
          <w:p>
            <w:pPr>
              <w:pStyle w:val="P5"/>
            </w:pPr>
            <w:r>
              <w:t>50 338 636,31</w:t>
            </w:r>
          </w:p>
        </w:tc>
      </w:tr>
      <w:tr>
        <w:tc>
          <w:tcPr>
            <w:tcW w:w="2750" w:type="pct"/>
            <w:tcBorders>
              <w:top w:val="single" w:sz="4" w:space="0" w:shadow="0" w:frame="0" w:color="DADBDC"/>
              <w:left w:val="single" w:sz="4" w:space="0" w:shadow="0" w:frame="0" w:color="FFFFFF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4"/>
            </w:pPr>
            <w:r>
              <w:rPr>
                <w:rFonts w:ascii="Times New Roman CE" w:hAnsi="Times New Roman CE"/>
              </w:rPr>
              <w:t>wydatki bieżące, w tym: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5"/>
            </w:pPr>
            <w:r>
              <w:t>31 437 280,19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5"/>
            </w:pPr>
            <w:r>
              <w:t>23 332,00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DADBDC"/>
              <w:right w:val="single" w:sz="4" w:space="0" w:shadow="0" w:frame="0" w:color="FFFFFF"/>
            </w:tcBorders>
            <w:shd w:val="clear" w:color="auto" w:fill="FFFFFF"/>
          </w:tcPr>
          <w:p>
            <w:pPr>
              <w:pStyle w:val="P5"/>
            </w:pPr>
            <w:r>
              <w:t>31 460 612,19</w:t>
            </w:r>
          </w:p>
        </w:tc>
      </w:tr>
      <w:tr>
        <w:tc>
          <w:tcPr>
            <w:tcW w:w="2750" w:type="pct"/>
            <w:tcBorders>
              <w:top w:val="single" w:sz="4" w:space="0" w:shadow="0" w:frame="0" w:color="DADBDC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6"/>
            </w:pPr>
            <w:r>
              <w:rPr>
                <w:rFonts w:ascii="Times New Roman CE" w:hAnsi="Times New Roman CE"/>
              </w:rPr>
              <w:t>Pomoc społeczna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FFFFFF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5"/>
            </w:pPr>
            <w:r>
              <w:t>1 257 842,67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FFFFFF"/>
              <w:right w:val="single" w:sz="4" w:space="0" w:shadow="0" w:frame="0" w:color="DADBDC"/>
            </w:tcBorders>
            <w:shd w:val="clear" w:color="auto" w:fill="FFFFFF"/>
          </w:tcPr>
          <w:p>
            <w:pPr>
              <w:pStyle w:val="P5"/>
            </w:pPr>
            <w:r>
              <w:t>23 332,00</w:t>
            </w:r>
          </w:p>
        </w:tc>
        <w:tc>
          <w:tcPr>
            <w:tcW w:w="750" w:type="pct"/>
            <w:tcBorders>
              <w:top w:val="single" w:sz="4" w:space="0" w:shadow="0" w:frame="0" w:color="DADBDC"/>
              <w:left w:val="single" w:sz="4" w:space="0" w:shadow="0" w:frame="0" w:color="DADBDC"/>
              <w:bottom w:val="single" w:sz="4" w:space="0" w:shadow="0" w:frame="0" w:color="FFFFFF"/>
              <w:right w:val="single" w:sz="4" w:space="0" w:shadow="0" w:frame="0" w:color="FFFFFF"/>
            </w:tcBorders>
            <w:shd w:val="clear" w:color="auto" w:fill="FFFFFF"/>
          </w:tcPr>
          <w:p>
            <w:pPr>
              <w:pStyle w:val="P5"/>
            </w:pPr>
            <w:r>
              <w:t>1 281 174,67</w:t>
            </w:r>
          </w:p>
        </w:tc>
      </w:tr>
    </w:tbl>
    <w:p/>
    <w:p>
      <w:pPr>
        <w:pStyle w:val="P1"/>
      </w:pPr>
      <w:r>
        <w:t>PRZYCHODY</w:t>
      </w:r>
    </w:p>
    <w:p>
      <w:pPr>
        <w:pStyle w:val="P7"/>
      </w:pPr>
      <w:r>
        <w:rPr>
          <w:rFonts w:ascii="Times New Roman CE" w:hAnsi="Times New Roman CE"/>
        </w:rPr>
        <w:t>Przychody budżetu Miasta i Gminy Górzno na rok 2026 nie uległy zmianie.</w:t>
      </w:r>
    </w:p>
    <w:p>
      <w:pPr>
        <w:pStyle w:val="P1"/>
      </w:pPr>
      <w:r>
        <w:t>ROZCHODY</w:t>
      </w:r>
    </w:p>
    <w:p>
      <w:pPr>
        <w:pStyle w:val="P7"/>
      </w:pPr>
      <w:r>
        <w:rPr>
          <w:rFonts w:ascii="Times New Roman CE" w:hAnsi="Times New Roman CE"/>
        </w:rPr>
        <w:t>Rozchody budżetu Miasta i Gminy Górzno na rok 2026 nie uległy zmianie.</w:t>
      </w:r>
    </w:p>
    <w:p>
      <w:pPr>
        <w:pStyle w:val="P1"/>
        <w:keepNext w:val="1"/>
        <w:rPr>
          <w:sz w:val="22"/>
          <w:lang w:val="pl-PL" w:bidi="pl-PL" w:eastAsia="pl-PL"/>
        </w:rPr>
      </w:pPr>
    </w:p>
    <w:p>
      <w:pPr>
        <w:pStyle w:val="P1"/>
        <w:keepNext w:val="1"/>
        <w:rPr>
          <w:sz w:val="22"/>
          <w:lang w:val="pl-PL" w:bidi="pl-PL" w:eastAsia="pl-PL"/>
        </w:rPr>
      </w:pPr>
    </w:p>
    <w:p>
      <w:pPr>
        <w:pStyle w:val="P1"/>
        <w:keepNext w:val="1"/>
        <w:rPr>
          <w:sz w:val="22"/>
          <w:lang w:val="pl-PL" w:bidi="pl-PL" w:eastAsia="pl-PL"/>
        </w:rPr>
      </w:pPr>
    </w:p>
    <w:p>
      <w:pPr>
        <w:pStyle w:val="P1"/>
        <w:keepNext w:val="1"/>
        <w:rPr>
          <w:sz w:val="22"/>
          <w:lang w:val="pl-PL" w:bidi="pl-PL" w:eastAsia="pl-PL"/>
        </w:rPr>
      </w:pPr>
    </w:p>
    <w:p>
      <w:pPr>
        <w:pStyle w:val="P7"/>
      </w:pPr>
    </w:p>
    <w:sectPr>
      <w:type w:val="nextPage"/>
      <w:pgSz w:w="11906" w:h="16838" w:code="0"/>
      <w:pgMar w:left="1417" w:right="1417" w:top="1417" w:bottom="1417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0">
    <w:nsid w:val="3E2377E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">
    <w:nsid w:val="4A56704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">
    <w:nsid w:val="4AB16627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3">
    <w:nsid w:val="4AB481A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4">
    <w:nsid w:val="73467FD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5">
    <w:nsid w:val="5275F342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6">
    <w:nsid w:val="4E7C7802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7">
    <w:nsid w:val="525AA01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8">
    <w:nsid w:val="71FF9961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9">
    <w:nsid w:val="24B5F8A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0">
    <w:nsid w:val="3961BDD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1">
    <w:nsid w:val="5735EA0C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2">
    <w:nsid w:val="310FB89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3">
    <w:nsid w:val="523ACCDB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4">
    <w:nsid w:val="16C0E31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5">
    <w:nsid w:val="1166D551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6">
    <w:nsid w:val="5BDBDCDC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7">
    <w:nsid w:val="62C95A7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8">
    <w:nsid w:val="7BD48D0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9">
    <w:nsid w:val="3B797EF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0">
    <w:nsid w:val="584C1971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1">
    <w:nsid w:val="2A9352B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2">
    <w:nsid w:val="1842B447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3">
    <w:nsid w:val="656724F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4">
    <w:nsid w:val="12292F17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5">
    <w:nsid w:val="03BC0772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6">
    <w:nsid w:val="3E10005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7">
    <w:nsid w:val="5E1C426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8">
    <w:nsid w:val="69308A2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9">
    <w:nsid w:val="336447C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30">
    <w:nsid w:val="067CB44F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31">
    <w:nsid w:val="48ABCD9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32">
    <w:nsid w:val="66B2B88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33">
    <w:nsid w:val="49D0C4E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34">
    <w:nsid w:val="699B8DD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35">
    <w:nsid w:val="542F534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36">
    <w:nsid w:val="286E54C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37">
    <w:nsid w:val="593ABEC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38">
    <w:nsid w:val="3915839F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39">
    <w:nsid w:val="0F12433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40">
    <w:nsid w:val="6724DC5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41">
    <w:nsid w:val="089B5E5B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42">
    <w:nsid w:val="4DB41B4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43">
    <w:nsid w:val="45B40B1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44">
    <w:nsid w:val="10831A87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45">
    <w:nsid w:val="42A1B4BB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46">
    <w:nsid w:val="63825C2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47">
    <w:nsid w:val="16074362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48">
    <w:nsid w:val="2E23642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49">
    <w:nsid w:val="7C1A9DE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50">
    <w:nsid w:val="1CE6111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51">
    <w:nsid w:val="3E53289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52">
    <w:nsid w:val="3DCEC89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53">
    <w:nsid w:val="0DB0AB7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54">
    <w:nsid w:val="6412AEB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55">
    <w:nsid w:val="076100E2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56">
    <w:nsid w:val="0938C58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57">
    <w:nsid w:val="7703F59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58">
    <w:nsid w:val="5B9A996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59">
    <w:nsid w:val="1D56E92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60">
    <w:nsid w:val="11EC578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61">
    <w:nsid w:val="711EF73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62">
    <w:nsid w:val="5404A1C7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63">
    <w:nsid w:val="25046D5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64">
    <w:nsid w:val="6A7628C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65">
    <w:nsid w:val="339B9F4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66">
    <w:nsid w:val="1DFFBE9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67">
    <w:nsid w:val="13EEF5AC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68">
    <w:nsid w:val="6A91DD0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69">
    <w:nsid w:val="6316A4D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70">
    <w:nsid w:val="028B37D7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71">
    <w:nsid w:val="10DA593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72">
    <w:nsid w:val="35E6D6B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73">
    <w:nsid w:val="69F51D1F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74">
    <w:nsid w:val="0EFD035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75">
    <w:nsid w:val="1C8EE89C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76">
    <w:nsid w:val="5E564AA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77">
    <w:nsid w:val="3434A07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78">
    <w:nsid w:val="6042131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79">
    <w:nsid w:val="2C5FF6B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80">
    <w:nsid w:val="6AF99047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81">
    <w:nsid w:val="37FA04FF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82">
    <w:nsid w:val="3E7A337B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83">
    <w:nsid w:val="6B10367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84">
    <w:nsid w:val="1F849DB1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85">
    <w:nsid w:val="7486F69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86">
    <w:nsid w:val="2ED2F38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87">
    <w:nsid w:val="7EFD6B6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88">
    <w:nsid w:val="6D1E256F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89">
    <w:nsid w:val="07A799F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90">
    <w:nsid w:val="4AA32C6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91">
    <w:nsid w:val="75F58D1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92">
    <w:nsid w:val="38100DEF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93">
    <w:nsid w:val="1F78E8F1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94">
    <w:nsid w:val="4872069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95">
    <w:nsid w:val="7B7D7F0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96">
    <w:nsid w:val="0980DCD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97">
    <w:nsid w:val="103F010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98">
    <w:nsid w:val="5121DF3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99">
    <w:nsid w:val="09A576F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00">
    <w:nsid w:val="436B09D2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01">
    <w:nsid w:val="46A578A7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02">
    <w:nsid w:val="72C1B47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03">
    <w:nsid w:val="39B7CF7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04">
    <w:nsid w:val="21B1796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05">
    <w:nsid w:val="221F1CD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06">
    <w:nsid w:val="1BE0D06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07">
    <w:nsid w:val="69FF555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08">
    <w:nsid w:val="2117AA1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09">
    <w:nsid w:val="00000001"/>
    <w:multiLevelType w:val="multilevel"/>
    <w:lvl w:ilvl="0">
      <w:start w:val="1"/>
      <w:numFmt w:val="bullet"/>
      <w:suff w:val="tab"/>
      <w:lvlText w:val="·"/>
      <w:lvlJc w:val="left"/>
      <w:pPr>
        <w:ind w:hanging="425" w:left="709"/>
      </w:pPr>
      <w:rPr>
        <w:rFonts w:ascii="Symbol" w:hAnsi="Symbol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suff w:val="tab"/>
      <w:lvlText w:val="·"/>
      <w:lvlJc w:val="left"/>
      <w:pPr>
        <w:ind w:hanging="425" w:left="1069"/>
      </w:pPr>
      <w:rPr>
        <w:rFonts w:ascii="Symbol" w:hAnsi="Symbol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suff w:val="tab"/>
      <w:lvlText w:val="·"/>
      <w:lvlJc w:val="left"/>
      <w:pPr>
        <w:ind w:hanging="425" w:left="1429"/>
      </w:pPr>
      <w:rPr>
        <w:rFonts w:ascii="Symbol" w:hAnsi="Symbol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suff w:val="tab"/>
      <w:lvlText w:val="·"/>
      <w:lvlJc w:val="left"/>
      <w:pPr>
        <w:ind w:hanging="425" w:left="1789"/>
      </w:pPr>
      <w:rPr>
        <w:rFonts w:ascii="Symbol" w:hAnsi="Symbol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suff w:val="tab"/>
      <w:lvlText w:val="·"/>
      <w:lvlJc w:val="left"/>
      <w:pPr>
        <w:ind w:hanging="425" w:left="2149"/>
      </w:pPr>
      <w:rPr>
        <w:rFonts w:ascii="Symbol" w:hAnsi="Symbol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suff w:val="tab"/>
      <w:lvlText w:val="·"/>
      <w:lvlJc w:val="left"/>
      <w:pPr>
        <w:ind w:hanging="425" w:left="2509"/>
      </w:pPr>
      <w:rPr>
        <w:rFonts w:ascii="Symbol" w:hAnsi="Symbol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suff w:val="tab"/>
      <w:lvlText w:val="·"/>
      <w:lvlJc w:val="left"/>
      <w:pPr>
        <w:ind w:hanging="425" w:left="2869"/>
      </w:pPr>
      <w:rPr>
        <w:rFonts w:ascii="Symbol" w:hAnsi="Symbol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suff w:val="tab"/>
      <w:lvlText w:val="·"/>
      <w:lvlJc w:val="left"/>
      <w:pPr>
        <w:ind w:hanging="425" w:left="3229"/>
      </w:pPr>
      <w:rPr>
        <w:rFonts w:ascii="Symbol" w:hAnsi="Symbol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suff w:val="tab"/>
      <w:lvlText w:val="·"/>
      <w:lvlJc w:val="left"/>
      <w:pPr>
        <w:ind w:hanging="425" w:left="3589"/>
      </w:pPr>
      <w:rPr>
        <w:rFonts w:ascii="Symbol" w:hAnsi="Symbol"/>
        <w:b w:val="0"/>
        <w:i w:val="0"/>
        <w:strike w:val="0"/>
        <w:color w:val="auto"/>
        <w:sz w:val="22"/>
        <w:u w:val="none"/>
      </w:rPr>
    </w:lvl>
  </w:abstractNum>
  <w:abstractNum w:abstractNumId="110">
    <w:nsid w:val="14896E1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11">
    <w:nsid w:val="5B8AA2E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12">
    <w:nsid w:val="4FC42C5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13">
    <w:nsid w:val="5336D28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14">
    <w:nsid w:val="40A9335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15">
    <w:nsid w:val="408DADA1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16">
    <w:nsid w:val="3B7EEB8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17">
    <w:nsid w:val="669A96A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18">
    <w:nsid w:val="4D5A697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19">
    <w:nsid w:val="18F1F98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20">
    <w:nsid w:val="0BA7F81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21">
    <w:nsid w:val="401D189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22">
    <w:nsid w:val="1350384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23">
    <w:nsid w:val="2F8D784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24">
    <w:nsid w:val="64EB8C0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25">
    <w:nsid w:val="282D908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26">
    <w:nsid w:val="56403C51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27">
    <w:nsid w:val="107A23A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28">
    <w:nsid w:val="40263C11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29">
    <w:nsid w:val="107F2462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30">
    <w:nsid w:val="68FD5BF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31">
    <w:nsid w:val="149B168C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32">
    <w:nsid w:val="666FD4E2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33">
    <w:nsid w:val="5C1326EF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34">
    <w:nsid w:val="4AE2F6B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35">
    <w:nsid w:val="2125D51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36">
    <w:nsid w:val="47B724C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37">
    <w:nsid w:val="15ED2C4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38">
    <w:nsid w:val="4CEDFB61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39">
    <w:nsid w:val="78F4A52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40">
    <w:nsid w:val="797AF21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41">
    <w:nsid w:val="26B48D6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42">
    <w:nsid w:val="0582A17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43">
    <w:nsid w:val="3947CEB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44">
    <w:nsid w:val="0D6E8F17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45">
    <w:nsid w:val="29FA643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46">
    <w:nsid w:val="2F241F4C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47">
    <w:nsid w:val="230CEC5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48">
    <w:nsid w:val="3E722F4B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49">
    <w:nsid w:val="1F0E45BB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50">
    <w:nsid w:val="26183361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51">
    <w:nsid w:val="249C161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52">
    <w:nsid w:val="45E7D137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53">
    <w:nsid w:val="551F019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54">
    <w:nsid w:val="13C1C11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55">
    <w:nsid w:val="37140BD7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56">
    <w:nsid w:val="5E2968CC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57">
    <w:nsid w:val="2AB6ED1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58">
    <w:nsid w:val="1918E0F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59">
    <w:nsid w:val="45ED782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60">
    <w:nsid w:val="7537AC4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61">
    <w:nsid w:val="7AE99162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62">
    <w:nsid w:val="25B053FF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63">
    <w:nsid w:val="7BDB137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64">
    <w:nsid w:val="3722ECA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65">
    <w:nsid w:val="6A3BABF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66">
    <w:nsid w:val="78B0635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67">
    <w:nsid w:val="28D0DEFF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68">
    <w:nsid w:val="476A8E9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69">
    <w:nsid w:val="5E25D41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70">
    <w:nsid w:val="441D0A2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71">
    <w:nsid w:val="54A3947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72">
    <w:nsid w:val="155DA01C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73">
    <w:nsid w:val="4F7AC78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74">
    <w:nsid w:val="748168A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75">
    <w:nsid w:val="7F900A87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76">
    <w:nsid w:val="4A023EA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77">
    <w:nsid w:val="607EF84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78">
    <w:nsid w:val="2D8A95C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79">
    <w:nsid w:val="7173022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80">
    <w:nsid w:val="0A1F7C8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81">
    <w:nsid w:val="1C301362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82">
    <w:nsid w:val="42AC923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83">
    <w:nsid w:val="6C36D24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84">
    <w:nsid w:val="28C0EA3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85">
    <w:nsid w:val="715538D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86">
    <w:nsid w:val="16075CD1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87">
    <w:nsid w:val="309DE37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88">
    <w:nsid w:val="00C1C5B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89">
    <w:nsid w:val="4571480B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90">
    <w:nsid w:val="7342A1A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91">
    <w:nsid w:val="3967BDB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92">
    <w:nsid w:val="43EE878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93">
    <w:nsid w:val="42778A8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94">
    <w:nsid w:val="13D84F9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95">
    <w:nsid w:val="1866718C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96">
    <w:nsid w:val="3A6289E2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97">
    <w:nsid w:val="3751B6A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98">
    <w:nsid w:val="0D3C15E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199">
    <w:nsid w:val="2719A1D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00">
    <w:nsid w:val="2C78FA4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01">
    <w:nsid w:val="3877EE0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02">
    <w:nsid w:val="089730CF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03">
    <w:nsid w:val="724AACFB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04">
    <w:nsid w:val="0E32423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05">
    <w:nsid w:val="5DF299A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06">
    <w:nsid w:val="5708706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07">
    <w:nsid w:val="4D7A94B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08">
    <w:nsid w:val="2BF89C5B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09">
    <w:nsid w:val="24D77BF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10">
    <w:nsid w:val="4CA72F67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11">
    <w:nsid w:val="19FA0587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12">
    <w:nsid w:val="6D7452F1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13">
    <w:nsid w:val="09585631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14">
    <w:nsid w:val="2AF8460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15">
    <w:nsid w:val="05D8D37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16">
    <w:nsid w:val="487D076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17">
    <w:nsid w:val="7567472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18">
    <w:nsid w:val="1B8AEC6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19">
    <w:nsid w:val="6904952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20">
    <w:nsid w:val="0FEF73F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21">
    <w:nsid w:val="2408843B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22">
    <w:nsid w:val="5E92F51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23">
    <w:nsid w:val="5C4EFBC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24">
    <w:nsid w:val="1E46F94C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25">
    <w:nsid w:val="03C3E3A6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26">
    <w:nsid w:val="2829ACB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27">
    <w:nsid w:val="08F750F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28">
    <w:nsid w:val="73E0809F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29">
    <w:nsid w:val="0DA2E9F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30">
    <w:nsid w:val="7A938C2C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31">
    <w:nsid w:val="3954E64C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32">
    <w:nsid w:val="07F8B8D5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33">
    <w:nsid w:val="671146E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34">
    <w:nsid w:val="21AE372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35">
    <w:nsid w:val="6BB66E5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36">
    <w:nsid w:val="7ED9596C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37">
    <w:nsid w:val="4EE3255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38">
    <w:nsid w:val="56CF35B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39">
    <w:nsid w:val="3F138200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40">
    <w:nsid w:val="061EE239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41">
    <w:nsid w:val="376E581A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42">
    <w:nsid w:val="5016EE7F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43">
    <w:nsid w:val="37BC34A2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44">
    <w:nsid w:val="17B6ED91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45">
    <w:nsid w:val="15C7D8B8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46">
    <w:nsid w:val="7643E71E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47">
    <w:nsid w:val="1DE81D8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48">
    <w:nsid w:val="3C2D51B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49">
    <w:nsid w:val="63B7CBE4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50">
    <w:nsid w:val="3815E0A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51">
    <w:nsid w:val="673AC9AD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abstractNum w:abstractNumId="252">
    <w:nsid w:val="2C6E7963"/>
    <w:multiLevelType w:val="multilevel"/>
    <w:lvl w:ilvl="0">
      <w:start w:val="1"/>
      <w:numFmt w:val="bullet"/>
      <w:suff w:val="tab"/>
      <w:lvlText w:val="●"/>
      <w:lvlJc w:val="left"/>
      <w:pPr>
        <w:ind w:hanging="425" w:left="709"/>
      </w:pPr>
      <w:rPr/>
    </w:lvl>
    <w:lvl w:ilvl="1">
      <w:start w:val="1"/>
      <w:numFmt w:val="bullet"/>
      <w:suff w:val="tab"/>
      <w:lvlText w:val="○"/>
      <w:lvlJc w:val="left"/>
      <w:pPr>
        <w:ind w:hanging="425" w:left="1417"/>
      </w:pPr>
      <w:rPr/>
    </w:lvl>
    <w:lvl w:ilvl="2">
      <w:start w:val="1"/>
      <w:numFmt w:val="bullet"/>
      <w:suff w:val="tab"/>
      <w:lvlText w:val="⁃"/>
      <w:lvlJc w:val="left"/>
      <w:pPr>
        <w:ind w:hanging="425" w:left="2126"/>
      </w:pPr>
      <w:rPr/>
    </w:lvl>
    <w:lvl w:ilvl="3">
      <w:start w:val="1"/>
      <w:numFmt w:val="bullet"/>
      <w:suff w:val="tab"/>
      <w:lvlText w:val="⁃"/>
      <w:lvlJc w:val="left"/>
      <w:pPr>
        <w:ind w:hanging="425" w:left="2835"/>
      </w:pPr>
      <w:rPr/>
    </w:lvl>
    <w:lvl w:ilvl="4">
      <w:start w:val="1"/>
      <w:numFmt w:val="bullet"/>
      <w:suff w:val="tab"/>
      <w:lvlText w:val="%1."/>
      <w:lvlJc w:val="left"/>
      <w:pPr/>
      <w:rPr/>
    </w:lvl>
    <w:lvl w:ilvl="5">
      <w:start w:val="1"/>
      <w:numFmt w:val="bullet"/>
      <w:suff w:val="tab"/>
      <w:lvlText w:val="%1."/>
      <w:lvlJc w:val="left"/>
      <w:pPr/>
      <w:rPr/>
    </w:lvl>
    <w:lvl w:ilvl="6">
      <w:start w:val="1"/>
      <w:numFmt w:val="bullet"/>
      <w:suff w:val="tab"/>
      <w:lvlText w:val="%1."/>
      <w:lvlJc w:val="left"/>
      <w:pPr/>
      <w:rPr/>
    </w:lvl>
    <w:lvl w:ilvl="7">
      <w:start w:val="1"/>
      <w:numFmt w:val="bullet"/>
      <w:suff w:val="tab"/>
      <w:lvlText w:val="%1."/>
      <w:lvlJc w:val="left"/>
      <w:pPr/>
      <w:rPr/>
    </w:lvl>
    <w:lvl w:ilvl="8">
      <w:start w:val="1"/>
      <w:numFmt w:val="bullet"/>
      <w:suff w:val="tab"/>
      <w:lvlText w:val="%1."/>
      <w:lvlJc w:val="left"/>
      <w:pPr/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2"/>
  </w:num>
  <w:num w:numId="154">
    <w:abstractNumId w:val="153"/>
  </w:num>
  <w:num w:numId="155">
    <w:abstractNumId w:val="154"/>
  </w:num>
  <w:num w:numId="156">
    <w:abstractNumId w:val="155"/>
  </w:num>
  <w:num w:numId="157">
    <w:abstractNumId w:val="156"/>
  </w:num>
  <w:num w:numId="158">
    <w:abstractNumId w:val="157"/>
  </w:num>
  <w:num w:numId="159">
    <w:abstractNumId w:val="158"/>
  </w:num>
  <w:num w:numId="160">
    <w:abstractNumId w:val="159"/>
  </w:num>
  <w:num w:numId="161">
    <w:abstractNumId w:val="160"/>
  </w:num>
  <w:num w:numId="162">
    <w:abstractNumId w:val="161"/>
  </w:num>
  <w:num w:numId="163">
    <w:abstractNumId w:val="162"/>
  </w:num>
  <w:num w:numId="164">
    <w:abstractNumId w:val="163"/>
  </w:num>
  <w:num w:numId="165">
    <w:abstractNumId w:val="164"/>
  </w:num>
  <w:num w:numId="166">
    <w:abstractNumId w:val="165"/>
  </w:num>
  <w:num w:numId="167">
    <w:abstractNumId w:val="166"/>
  </w:num>
  <w:num w:numId="168">
    <w:abstractNumId w:val="167"/>
  </w:num>
  <w:num w:numId="169">
    <w:abstractNumId w:val="168"/>
  </w:num>
  <w:num w:numId="170">
    <w:abstractNumId w:val="169"/>
  </w:num>
  <w:num w:numId="171">
    <w:abstractNumId w:val="170"/>
  </w:num>
  <w:num w:numId="172">
    <w:abstractNumId w:val="171"/>
  </w:num>
  <w:num w:numId="173">
    <w:abstractNumId w:val="172"/>
  </w:num>
  <w:num w:numId="174">
    <w:abstractNumId w:val="173"/>
  </w:num>
  <w:num w:numId="175">
    <w:abstractNumId w:val="174"/>
  </w:num>
  <w:num w:numId="176">
    <w:abstractNumId w:val="175"/>
  </w:num>
  <w:num w:numId="177">
    <w:abstractNumId w:val="176"/>
  </w:num>
  <w:num w:numId="178">
    <w:abstractNumId w:val="177"/>
  </w:num>
  <w:num w:numId="179">
    <w:abstractNumId w:val="178"/>
  </w:num>
  <w:num w:numId="180">
    <w:abstractNumId w:val="179"/>
  </w:num>
  <w:num w:numId="181">
    <w:abstractNumId w:val="180"/>
  </w:num>
  <w:num w:numId="182">
    <w:abstractNumId w:val="181"/>
  </w:num>
  <w:num w:numId="183">
    <w:abstractNumId w:val="182"/>
  </w:num>
  <w:num w:numId="184">
    <w:abstractNumId w:val="183"/>
  </w:num>
  <w:num w:numId="185">
    <w:abstractNumId w:val="184"/>
  </w:num>
  <w:num w:numId="186">
    <w:abstractNumId w:val="185"/>
  </w:num>
  <w:num w:numId="187">
    <w:abstractNumId w:val="186"/>
  </w:num>
  <w:num w:numId="188">
    <w:abstractNumId w:val="187"/>
  </w:num>
  <w:num w:numId="189">
    <w:abstractNumId w:val="188"/>
  </w:num>
  <w:num w:numId="190">
    <w:abstractNumId w:val="189"/>
  </w:num>
  <w:num w:numId="191">
    <w:abstractNumId w:val="190"/>
  </w:num>
  <w:num w:numId="192">
    <w:abstractNumId w:val="191"/>
  </w:num>
  <w:num w:numId="193">
    <w:abstractNumId w:val="192"/>
  </w:num>
  <w:num w:numId="194">
    <w:abstractNumId w:val="193"/>
  </w:num>
  <w:num w:numId="195">
    <w:abstractNumId w:val="194"/>
  </w:num>
  <w:num w:numId="196">
    <w:abstractNumId w:val="195"/>
  </w:num>
  <w:num w:numId="197">
    <w:abstractNumId w:val="196"/>
  </w:num>
  <w:num w:numId="198">
    <w:abstractNumId w:val="197"/>
  </w:num>
  <w:num w:numId="199">
    <w:abstractNumId w:val="198"/>
  </w:num>
  <w:num w:numId="200">
    <w:abstractNumId w:val="199"/>
  </w:num>
  <w:num w:numId="201">
    <w:abstractNumId w:val="200"/>
  </w:num>
  <w:num w:numId="202">
    <w:abstractNumId w:val="201"/>
  </w:num>
  <w:num w:numId="203">
    <w:abstractNumId w:val="202"/>
  </w:num>
  <w:num w:numId="204">
    <w:abstractNumId w:val="203"/>
  </w:num>
  <w:num w:numId="205">
    <w:abstractNumId w:val="204"/>
  </w:num>
  <w:num w:numId="206">
    <w:abstractNumId w:val="205"/>
  </w:num>
  <w:num w:numId="207">
    <w:abstractNumId w:val="206"/>
  </w:num>
  <w:num w:numId="208">
    <w:abstractNumId w:val="207"/>
  </w:num>
  <w:num w:numId="209">
    <w:abstractNumId w:val="208"/>
  </w:num>
  <w:num w:numId="210">
    <w:abstractNumId w:val="209"/>
  </w:num>
  <w:num w:numId="211">
    <w:abstractNumId w:val="210"/>
  </w:num>
  <w:num w:numId="212">
    <w:abstractNumId w:val="211"/>
  </w:num>
  <w:num w:numId="213">
    <w:abstractNumId w:val="212"/>
  </w:num>
  <w:num w:numId="214">
    <w:abstractNumId w:val="213"/>
  </w:num>
  <w:num w:numId="215">
    <w:abstractNumId w:val="214"/>
  </w:num>
  <w:num w:numId="216">
    <w:abstractNumId w:val="215"/>
  </w:num>
  <w:num w:numId="217">
    <w:abstractNumId w:val="216"/>
  </w:num>
  <w:num w:numId="218">
    <w:abstractNumId w:val="217"/>
  </w:num>
  <w:num w:numId="219">
    <w:abstractNumId w:val="218"/>
  </w:num>
  <w:num w:numId="220">
    <w:abstractNumId w:val="219"/>
  </w:num>
  <w:num w:numId="221">
    <w:abstractNumId w:val="220"/>
  </w:num>
  <w:num w:numId="222">
    <w:abstractNumId w:val="221"/>
  </w:num>
  <w:num w:numId="223">
    <w:abstractNumId w:val="222"/>
  </w:num>
  <w:num w:numId="224">
    <w:abstractNumId w:val="223"/>
  </w:num>
  <w:num w:numId="225">
    <w:abstractNumId w:val="224"/>
  </w:num>
  <w:num w:numId="226">
    <w:abstractNumId w:val="225"/>
  </w:num>
  <w:num w:numId="227">
    <w:abstractNumId w:val="226"/>
  </w:num>
  <w:num w:numId="228">
    <w:abstractNumId w:val="227"/>
  </w:num>
  <w:num w:numId="229">
    <w:abstractNumId w:val="228"/>
  </w:num>
  <w:num w:numId="230">
    <w:abstractNumId w:val="229"/>
  </w:num>
  <w:num w:numId="231">
    <w:abstractNumId w:val="230"/>
  </w:num>
  <w:num w:numId="232">
    <w:abstractNumId w:val="231"/>
  </w:num>
  <w:num w:numId="233">
    <w:abstractNumId w:val="232"/>
  </w:num>
  <w:num w:numId="234">
    <w:abstractNumId w:val="233"/>
  </w:num>
  <w:num w:numId="235">
    <w:abstractNumId w:val="234"/>
  </w:num>
  <w:num w:numId="236">
    <w:abstractNumId w:val="235"/>
  </w:num>
  <w:num w:numId="237">
    <w:abstractNumId w:val="236"/>
  </w:num>
  <w:num w:numId="238">
    <w:abstractNumId w:val="237"/>
  </w:num>
  <w:num w:numId="239">
    <w:abstractNumId w:val="238"/>
  </w:num>
  <w:num w:numId="240">
    <w:abstractNumId w:val="239"/>
  </w:num>
  <w:num w:numId="241">
    <w:abstractNumId w:val="240"/>
  </w:num>
  <w:num w:numId="242">
    <w:abstractNumId w:val="241"/>
  </w:num>
  <w:num w:numId="243">
    <w:abstractNumId w:val="242"/>
  </w:num>
  <w:num w:numId="244">
    <w:abstractNumId w:val="243"/>
  </w:num>
  <w:num w:numId="245">
    <w:abstractNumId w:val="244"/>
  </w:num>
  <w:num w:numId="246">
    <w:abstractNumId w:val="245"/>
  </w:num>
  <w:num w:numId="247">
    <w:abstractNumId w:val="246"/>
  </w:num>
  <w:num w:numId="248">
    <w:abstractNumId w:val="247"/>
  </w:num>
  <w:num w:numId="249">
    <w:abstractNumId w:val="248"/>
  </w:num>
  <w:num w:numId="250">
    <w:abstractNumId w:val="249"/>
  </w:num>
  <w:num w:numId="251">
    <w:abstractNumId w:val="250"/>
  </w:num>
  <w:num w:numId="252">
    <w:abstractNumId w:val="251"/>
  </w:num>
  <w:num w:numId="253">
    <w:abstractNumId w:val="25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000000"/>
        <w:sz w:val="22"/>
        <w:u w:val="none"/>
        <w:shd w:val="clear" w:color="auto" w:fill="FFFFFF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>
      <w:rFonts w:ascii="Times New Roman" w:hAnsi="Times New Roman"/>
      <w:b w:val="0"/>
      <w:color w:val="000000"/>
      <w:sz w:val="22"/>
    </w:rPr>
  </w:style>
  <w:style w:type="paragraph" w:styleId="P1">
    <w:name w:val="Heading1"/>
    <w:basedOn w:val="P0"/>
    <w:next w:val="P1"/>
    <w:pPr>
      <w:keepNext w:val="1"/>
      <w:spacing w:after="160" w:beforeAutospacing="0" w:afterAutospacing="0"/>
      <w:contextualSpacing w:val="1"/>
      <w:jc w:val="both"/>
    </w:pPr>
    <w:rPr>
      <w:b w:val="1"/>
      <w:color w:val="auto"/>
      <w:sz w:val="28"/>
      <w:shd w:val="clear" w:color="auto" w:fill="auto"/>
    </w:rPr>
  </w:style>
  <w:style w:type="paragraph" w:styleId="P2">
    <w:name w:val="ListParagraph"/>
    <w:basedOn w:val="P0"/>
    <w:next w:val="P2"/>
    <w:pPr>
      <w:spacing w:lineRule="auto" w:line="276" w:after="160" w:beforeAutospacing="0" w:afterAutospacing="0"/>
      <w:contextualSpacing w:val="1"/>
    </w:pPr>
    <w:rPr>
      <w:color w:val="auto"/>
      <w:shd w:val="clear" w:color="auto" w:fill="auto"/>
    </w:rPr>
  </w:style>
  <w:style w:type="paragraph" w:styleId="P3">
    <w:name w:val="Default_HeadingCell"/>
    <w:basedOn w:val="P0"/>
    <w:next w:val="P3"/>
    <w:pPr>
      <w:spacing w:lineRule="auto" w:line="276" w:before="113" w:after="113" w:beforeAutospacing="0" w:afterAutospacing="0"/>
      <w:ind w:left="113" w:right="113"/>
      <w:jc w:val="center"/>
    </w:pPr>
    <w:rPr>
      <w:b w:val="1"/>
      <w:color w:val="FFFFFF"/>
      <w:sz w:val="15"/>
      <w:shd w:val="clear" w:color="auto" w:fill="auto"/>
    </w:rPr>
  </w:style>
  <w:style w:type="paragraph" w:styleId="P4">
    <w:name w:val="Default_ExplanationChanges_TitleRowCell"/>
    <w:basedOn w:val="P0"/>
    <w:next w:val="P4"/>
    <w:pPr>
      <w:spacing w:lineRule="auto" w:line="276" w:before="17" w:after="17" w:beforeAutospacing="0" w:afterAutospacing="0"/>
      <w:ind w:left="113" w:right="113"/>
    </w:pPr>
    <w:rPr>
      <w:color w:val="auto"/>
      <w:sz w:val="15"/>
      <w:shd w:val="clear" w:color="auto" w:fill="auto"/>
    </w:rPr>
  </w:style>
  <w:style w:type="paragraph" w:styleId="P5">
    <w:name w:val="Default_FooterValueCell"/>
    <w:basedOn w:val="P0"/>
    <w:next w:val="P5"/>
    <w:pPr>
      <w:spacing w:lineRule="auto" w:line="276" w:before="17" w:after="17" w:beforeAutospacing="0" w:afterAutospacing="0"/>
      <w:ind w:left="113" w:right="113"/>
      <w:jc w:val="right"/>
    </w:pPr>
    <w:rPr>
      <w:b w:val="1"/>
      <w:color w:val="auto"/>
      <w:sz w:val="15"/>
      <w:shd w:val="clear" w:color="auto" w:fill="auto"/>
    </w:rPr>
  </w:style>
  <w:style w:type="paragraph" w:styleId="P6">
    <w:name w:val="Default_ExplanationChanges_SectionRowCell"/>
    <w:basedOn w:val="P0"/>
    <w:next w:val="P6"/>
    <w:pPr>
      <w:spacing w:lineRule="auto" w:line="276" w:before="17" w:after="17" w:beforeAutospacing="0" w:afterAutospacing="0"/>
      <w:ind w:left="113" w:right="113"/>
      <w:jc w:val="right"/>
    </w:pPr>
    <w:rPr>
      <w:color w:val="auto"/>
      <w:sz w:val="15"/>
      <w:shd w:val="clear" w:color="auto" w:fill="auto"/>
    </w:rPr>
  </w:style>
  <w:style w:type="paragraph" w:styleId="P7">
    <w:name w:val="ParagraphLeftAlign"/>
    <w:basedOn w:val="P0"/>
    <w:next w:val="P7"/>
    <w:pPr>
      <w:spacing w:lineRule="auto" w:line="276" w:after="160" w:beforeAutospacing="0" w:afterAutospacing="0"/>
    </w:pPr>
    <w:rPr>
      <w:color w:val="auto"/>
      <w:shd w:val="clear" w:color="auto" w:fill="auto"/>
    </w:rPr>
  </w:style>
  <w:style w:type="paragraph" w:styleId="P8">
    <w:name w:val="[Normal]"/>
    <w:basedOn w:val="P0"/>
    <w:pPr>
      <w:jc w:val="left"/>
    </w:pPr>
    <w:rPr>
      <w:rFonts w:ascii="Arial" w:hAnsi="Arial"/>
      <w:color w:val="auto"/>
      <w:sz w:val="24"/>
      <w:shd w:val="clear" w:color="auto" w:fill="auto"/>
    </w:rPr>
  </w:style>
  <w:style w:type="paragraph" w:styleId="P9">
    <w:name w:val="Default"/>
    <w:next w:val="P9"/>
    <w:pPr>
      <w:jc w:val="left"/>
    </w:pPr>
    <w:rPr>
      <w:color w:val="000000"/>
      <w:sz w:val="24"/>
      <w:shd w:val="clear" w:color="auto" w:fill="auto"/>
    </w:rPr>
  </w:style>
  <w:style w:type="paragraph" w:styleId="P10">
    <w:name w:val="Eco_HeadingCell"/>
    <w:basedOn w:val="P0"/>
    <w:next w:val="P10"/>
    <w:pPr>
      <w:spacing w:lineRule="auto" w:line="276" w:before="113" w:after="113" w:beforeAutospacing="0" w:afterAutospacing="0"/>
      <w:ind w:left="113" w:right="113"/>
      <w:jc w:val="center"/>
    </w:pPr>
    <w:rPr>
      <w:b w:val="1"/>
      <w:color w:val="000000"/>
      <w:sz w:val="15"/>
      <w:shd w:val="clear" w:color="auto" w:fill="auto"/>
    </w:rPr>
  </w:style>
  <w:style w:type="paragraph" w:styleId="P11">
    <w:name w:val="Eco_ExplanationChanges_TitleRowCell"/>
    <w:basedOn w:val="P0"/>
    <w:next w:val="P11"/>
    <w:pPr>
      <w:spacing w:lineRule="auto" w:line="276" w:before="17" w:after="17" w:beforeAutospacing="0" w:afterAutospacing="0"/>
      <w:ind w:left="113" w:right="113"/>
      <w:jc w:val="left"/>
    </w:pPr>
    <w:rPr>
      <w:color w:val="auto"/>
      <w:sz w:val="15"/>
      <w:shd w:val="clear" w:color="auto" w:fill="auto"/>
    </w:rPr>
  </w:style>
  <w:style w:type="paragraph" w:styleId="P12">
    <w:name w:val="Eco_FooterValueCell"/>
    <w:basedOn w:val="P0"/>
    <w:next w:val="P12"/>
    <w:pPr>
      <w:spacing w:lineRule="auto" w:line="276" w:before="17" w:after="17" w:beforeAutospacing="0" w:afterAutospacing="0"/>
      <w:ind w:left="113" w:right="113"/>
      <w:jc w:val="right"/>
    </w:pPr>
    <w:rPr>
      <w:b w:val="1"/>
      <w:color w:val="auto"/>
      <w:sz w:val="15"/>
      <w:shd w:val="clear" w:color="auto" w:fill="auto"/>
    </w:rPr>
  </w:style>
  <w:style w:type="paragraph" w:styleId="P13">
    <w:name w:val="Eco_ExplanationChanges_SectionRowCell"/>
    <w:basedOn w:val="P0"/>
    <w:next w:val="P13"/>
    <w:pPr>
      <w:spacing w:lineRule="auto" w:line="276" w:before="17" w:after="17" w:beforeAutospacing="0" w:afterAutospacing="0"/>
      <w:ind w:left="113" w:right="113"/>
      <w:jc w:val="right"/>
    </w:pPr>
    <w:rPr>
      <w:color w:val="auto"/>
      <w:sz w:val="15"/>
      <w:shd w:val="clear" w:color="auto" w:fill="auto"/>
    </w:rPr>
  </w:style>
  <w:style w:type="paragraph" w:styleId="P14">
    <w:name w:val="OrdinanceTitle"/>
    <w:basedOn w:val="P0"/>
    <w:next w:val="P14"/>
    <w:pPr>
      <w:keepNext w:val="1"/>
      <w:spacing w:lineRule="auto" w:line="276" w:after="160" w:beforeAutospacing="0" w:afterAutospacing="0"/>
      <w:contextualSpacing w:val="1"/>
      <w:jc w:val="center"/>
    </w:pPr>
    <w:rPr>
      <w:color w:val="auto"/>
      <w:shd w:val="clear" w:color="auto" w:fill="auto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Default_Table_Publink"/>
    <w:rPr>
      <w:color w:val="auto"/>
      <w:sz w:val="22"/>
      <w:shd w:val="clear" w:color="auto" w:fill="auto"/>
      <w:lang w:val="pl-PL" w:bidi="pl-PL" w:eastAsia="pl-PL"/>
    </w:rPr>
    <w:tblPr>
      <w:tblBorders>
        <w:top w:val="single" w:sz="4" w:space="0" w:shadow="0" w:frame="0" w:color="FFFFFF"/>
        <w:left w:val="single" w:sz="4" w:space="0" w:shadow="0" w:frame="0" w:color="FFFFFF"/>
        <w:bottom w:val="single" w:sz="4" w:space="0" w:shadow="0" w:frame="0" w:color="FFFFFF"/>
        <w:right w:val="single" w:sz="4" w:space="0" w:shadow="0" w:frame="0" w:color="FFFFFF"/>
        <w:insideH w:val="single" w:sz="4" w:space="0" w:shadow="0" w:frame="0" w:color="DADBDC"/>
        <w:insideV w:val="single" w:sz="4" w:space="0" w:shadow="0" w:frame="0" w:color="DADBDC"/>
      </w:tblBorders>
      <w:tblCellMar>
        <w:left w:w="0" w:type="dxa"/>
        <w:right w:w="0" w:type="dxa"/>
      </w:tblCellMar>
    </w:tblPr>
    <w:trPr/>
    <w:tcPr>
      <w:vAlign w:val="center"/>
    </w:tcPr>
  </w:style>
  <w:style w:type="table" w:styleId="T3">
    <w:name w:val="Eco_Table_Publink"/>
    <w:rPr>
      <w:color w:val="auto"/>
      <w:shd w:val="clear" w:color="auto" w:fill="auto"/>
      <w:lang w:val="pl-PL" w:bidi="pl-PL" w:eastAsia="pl-PL"/>
    </w:rPr>
    <w:tblPr>
      <w:tblBorders>
        <w:top w:val="single" w:sz="4" w:space="0" w:shadow="0" w:frame="0" w:color="FFFFFF"/>
        <w:left w:val="single" w:sz="4" w:space="0" w:shadow="0" w:frame="0" w:color="FFFFFF"/>
        <w:bottom w:val="single" w:sz="4" w:space="0" w:shadow="0" w:frame="0" w:color="FFFFFF"/>
        <w:right w:val="single" w:sz="4" w:space="0" w:shadow="0" w:frame="0" w:color="FFFFFF"/>
        <w:insideH w:val="single" w:sz="4" w:space="0" w:shadow="0" w:frame="0" w:color="DADBDC"/>
        <w:insideV w:val="single" w:sz="4" w:space="0" w:shadow="0" w:frame="0" w:color="DADBDC"/>
      </w:tblBorders>
      <w:tblCellMar>
        <w:top w:w="0" w:type="dxa"/>
        <w:left w:w="0" w:type="dxa"/>
        <w:bottom w:w="0" w:type="dxa"/>
        <w:right w:w="0" w:type="dxa"/>
      </w:tblCellMar>
    </w:tblPr>
    <w:trPr/>
    <w:tcPr>
      <w:vAlign w:val="center"/>
    </w:tcPr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AndrzejewskaM</dc:creator>
  <dcterms:created xsi:type="dcterms:W3CDTF">2024-04-02T13:15:55Z</dcterms:created>
  <cp:lastModifiedBy>JaroszewskaM</cp:lastModifiedBy>
  <dcterms:modified xsi:type="dcterms:W3CDTF">2026-07-27T11:16:50Z</dcterms:modified>
  <cp:revision>310</cp:revision>
</cp:coreProperties>
</file>