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5E84697" Type="http://schemas.openxmlformats.org/officeDocument/2006/relationships/officeDocument" Target="/word/document.xml" /><Relationship Id="coreR55E8469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z w:val="22"/>
          <w:vertAlign w:val="baseline"/>
        </w:rPr>
        <w:t>DOCHODY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Miasta i Gminy Górzno na rok 2026 zostają zwiększone o kwotę 95 098,00 zł do kwoty 41 293 694,20 zł, w tym: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●dochody bieżące ulegają zwiększeniu o kwotę 95 098,00 zł do kwoty 32 664 220,52 zł,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●dochody majątkowe nie uległy zmianie.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następujących zwiększeń po stronie dochodów bieżących: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decyzji Wojewody Kujawsko-Pomorskiego nr WFB.I.3120.3.50.2026 z dnia 17 sierpnia 2026 r.: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„Pomoc społeczna” w rozdziale „Zasiłki stałe” w ramach paragrafu „Dotacja celowa otrzymana z budżetu państwa na realizację własnych zadań bieżących gmin (związków gmin, związków powiatowo-gminnych)” zwiększa się dochody o 3 676,00 zł do kwoty 103 084,00 zł -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przeznaczeniem na dofinansowanie wypłat zasiłków stałych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decyzji Wojewody Kujawsko-Pomorskiego nr WFB.I.3120.3.47.2026 z dnia 11 sierpnia 2026 r.: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„Rodzina” w rozdziale „Świadczenia rodzinne, świadczenie z funduszu alimentacyjnego oraz składki na ubezpieczenia emerytalne i rentowe z ubezpieczenia społecznego” w ramach paragrafu „Dotacja celowa otrzymana z budżetu państwa na realizację zadań bieżących z zakresu administracji rządowej oraz innych zadań zleconych gminie (związkom gmin, związkom powiatowo-gminnym) ustawami” zwiększa się dochody o 91 422,00 zł do kwoty 2 153 992,00 zł -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przeznaczeniem na realizację zadań z zakresu administracji rządowej tj. na uzupełnienie środków na realizację świadczenia pielęgnacyjnego, w związku z realizacją rozwiązań wynikających z ustawy z dnia 7 lipca 2023 r. o świadczeniu wspierającym.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Podsumowanie zmian dochodów Miasta i Gminy Górzno przedstawia tabela poniżej.</w:t>
      </w:r>
    </w:p>
    <w:tbl>
      <w:tblPr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left w:w="108" w:type="dxa"/>
          <w:right w:w="108" w:type="dxa"/>
        </w:tblCellMar>
      </w:tblPr>
      <w:tblGrid/>
      <w:tr>
        <w:tblPrEx>
          <w:tblW w:w="5000" w:type="pct"/>
          <w:tblLayout w:type="fixed"/>
        </w:tblPrEx>
        <w:tc>
          <w:tcPr>
            <w:tcW w:w="5580" w:type="dxa"/>
            <w:tcBorders>
              <w:top w:val="nil" w:sz="0" w:space="0" w:shadow="0" w:frame="0"/>
              <w:left w:val="nil" w:sz="0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Wyszczególnienie</w:t>
            </w:r>
          </w:p>
        </w:tc>
        <w:tc>
          <w:tcPr>
            <w:tcW w:w="1500" w:type="dxa"/>
            <w:tcBorders>
              <w:top w:val="nil" w:sz="0" w:space="0" w:shadow="0" w:frame="0"/>
              <w:left w:val="single" w:sz="2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Przed zmianą</w:t>
            </w:r>
          </w:p>
        </w:tc>
        <w:tc>
          <w:tcPr>
            <w:tcW w:w="1500" w:type="dxa"/>
            <w:tcBorders>
              <w:top w:val="nil" w:sz="0" w:space="0" w:shadow="0" w:frame="0"/>
              <w:left w:val="single" w:sz="2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Zmiana</w:t>
            </w:r>
          </w:p>
        </w:tc>
        <w:tc>
          <w:tcPr>
            <w:tcW w:w="1500" w:type="dxa"/>
            <w:tcBorders>
              <w:top w:val="nil" w:sz="0" w:space="0" w:shadow="0" w:frame="0"/>
              <w:left w:val="single" w:sz="2" w:space="0" w:shadow="0" w:frame="0"/>
              <w:bottom w:val="single" w:sz="4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Po zmianie</w:t>
            </w:r>
          </w:p>
        </w:tc>
      </w:tr>
      <w:tr>
        <w:tblPrEx>
          <w:tblW w:w="5000" w:type="pct"/>
          <w:tblLayout w:type="fixed"/>
        </w:tblPrEx>
        <w:tc>
          <w:tcPr>
            <w:tcW w:w="5580" w:type="dxa"/>
            <w:tcBorders>
              <w:top w:val="single" w:sz="2" w:space="0" w:shadow="0" w:frame="0"/>
              <w:left w:val="nil" w:sz="0" w:space="0" w:shadow="0" w:frame="0"/>
              <w:bottom w:val="single" w:sz="4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ogółem: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4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41 198 596,20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4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95 098,00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4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41 293 694,20</w:t>
            </w:r>
          </w:p>
        </w:tc>
      </w:tr>
      <w:tr>
        <w:tblPrEx>
          <w:tblW w:w="5000" w:type="pct"/>
          <w:tblLayout w:type="fixed"/>
        </w:tblPrEx>
        <w:tc>
          <w:tcPr>
            <w:tcW w:w="5580" w:type="dxa"/>
            <w:tcBorders>
              <w:top w:val="single" w:sz="2" w:space="0" w:shadow="0" w:frame="0"/>
              <w:left w:val="nil" w:sz="0" w:space="0" w:shadow="0" w:frame="0"/>
              <w:bottom w:val="single" w:sz="4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bieżące, w tym: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4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32 569 122,52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4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95 098,00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4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32 664 220,52</w:t>
            </w:r>
          </w:p>
        </w:tc>
      </w:tr>
      <w:tr>
        <w:tblPrEx>
          <w:tblW w:w="5000" w:type="pct"/>
          <w:tblLayout w:type="fixed"/>
        </w:tblPrEx>
        <w:tc>
          <w:tcPr>
            <w:tcW w:w="5580" w:type="dxa"/>
            <w:tcBorders>
              <w:top w:val="single" w:sz="2" w:space="0" w:shadow="0" w:frame="0"/>
              <w:left w:val="nil" w:sz="0" w:space="0" w:shadow="0" w:frame="0"/>
              <w:bottom w:val="single" w:sz="4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4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409 144,34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4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3 676,00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4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412 820,34</w:t>
            </w:r>
          </w:p>
        </w:tc>
      </w:tr>
      <w:tr>
        <w:tblPrEx>
          <w:tblW w:w="5000" w:type="pct"/>
          <w:tblLayout w:type="fixed"/>
        </w:tblPrEx>
        <w:tc>
          <w:tcPr>
            <w:tcW w:w="5580" w:type="dxa"/>
            <w:tcBorders>
              <w:top w:val="single" w:sz="2" w:space="0" w:shadow="0" w:frame="0"/>
              <w:left w:val="nil" w:sz="0" w:space="0" w:shadow="0" w:frame="0"/>
              <w:bottom w:val="nil" w:sz="0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Rodzina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nil" w:sz="0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2 519 248,49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nil" w:sz="0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91 422,00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nil" w:sz="0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2 610 670,49</w:t>
            </w:r>
          </w:p>
        </w:tc>
      </w:tr>
    </w:tbl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budżetu Miasta i Gminy Górzno na rok 2026 zostają zwiększone o kwotę 95 098,00 zł do kwoty 50 433 734,31 zł, w tym: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●wydatki bieżące ulegają zwiększeniu o kwotę 95 098,00 zł do kwoty 31 555 710,19 zł,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●wydatki majątkowe nie uległy zmianie.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następujących zwiększeń po stronie wydatków bieżących: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„Administracja publiczna” w rozdziale „Promocja jednostek samorządu terytorialnego” w ramach paragrafu „Zakup materiałów i wyposażenia” zwiększa się wydatki o 3 000,00 zł do kwoty 11 580,00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„Administracja publiczna” w rozdziale „Pozostała działalność” w ramach paragrafu „Zakup usług pozostałych” zwiększa się wydatki o 2 460,00 zł do kwoty 141 955,10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„Administracja publiczna” w rozdziale „Pozostała działalność” w ramach paragrafu „Szkolenia pracowników niebędących członkami korpusu służby cywilnej” zwiększa się wydatki o 7 305,18 zł do kwoty 28 118,05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„Oświata i wychowanie” w rozdziale „Dowożenie uczniów do szkół” w ramach paragrafu „Zakup usług pozostałych” zwiększa się wydatki o 36 000,00 zł do kwoty 149 396,00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„Ochrona zdrowia” w rozdziale „Przeciwdziałanie alkoholizmowi” w ramach paragrafu „Koszty postępowania sądowego i prokuratorskiego” wprowadza się wydatki w kwocie 510,00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●w dziale „Pomoc społeczna” w rozdziale „Zasiłki stałe” w ramach paragrafu „Świadczenia społeczne” zwiększa się wydatki o 3 676,00 zł do kwoty 103 084,00 zł;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●w dziale „Rodzina” w rozdziale „Świadczenia rodzinne, świadczenie z funduszu alimentacyjnego oraz składki na ubezpieczenia emerytalne i rentowe z ubezpieczenia społecznego” w ramach paragrafu „Świadczenia społeczne” zwiększa się wydatki o 91 422,00 zł do kwoty 1 844 422,00 zł;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„Kultura i ochrona dziedzictwa narodowego” w rozdziale „Pozostała działalność” w ramach paragrafu „Zakup usług pozostałych” zwiększa się wydatki o 2 000,00 zł do kwoty 2 450,00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następujących zmniejszeń po stronie wydatków bieżących: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„Administracja publiczna” w rozdziale „Pozostała działalność” w ramach paragrafu „Nagrody o charakterze szczególnym niezaliczone do wynagrodzeń” zmniejsza się wydatki o 3 000,00 zł do kwoty 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„Administracja publiczna” w rozdziale „Pozostała działalność” w ramach paragrafu „Zakup materiałów i wyposażenia” zmniejsza się wydatki o 9 765,18 zł do kwoty 35 812,39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„Oświata i wychowanie” w rozdziale „Dowożenie uczniów do szkół” w ramach paragrafu „Wynagrodzenia osobowe pracowników” zmniejsza się wydatki o 12 000,00 zł do kwoty 148 000,00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„Oświata i wychowanie” w rozdziale „Dowożenie uczniów do szkół” w ramach paragrafu „Wynagrodzenia bezosobowe” zmniejsza się wydatki o 9 200,00 zł do kwoty 27 800,00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„Oświata i wychowanie” w rozdziale „Dowożenie uczniów do szkół” w ramach paragrafu „Zakup materiałów i wyposażenia” zmniejsza się wydatki o 11 500,00 zł do kwoty 53 500,00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„Oświata i wychowanie” w rozdziale „Dowożenie uczniów do szkół” w ramach paragrafu „Różne opłaty i składki” zmniejsza się wydatki o 3 300,00 zł do kwoty 3 700,00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„Ochrona zdrowia” w rozdziale „Przeciwdziałanie alkoholizmowi” w ramach paragrafu „Zakup materiałów i wyposażenia” zmniejsza się wydatki o 510,00 zł do kwoty 7 490,00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„Kultura i ochrona dziedzictwa narodowego” w rozdziale „Pozostała działalność” w ramach paragrafu „Zakup materiałów i wyposażenia” zmniejsza się wydatki o 200,00 zł do kwoty 2 950,00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●w dziale „Kultura i ochrona dziedzictwa narodowego” w rozdziale „Pozostała działalność” w ramach paragrafu „Zakup środków żywności” zmniejsza się wydatki o 1 800,00 zł do kwoty 6 600,00 zł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przesunięcie środków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Podsumowanie zmian wydatków Miasta i Gminy Górzno przedstawia tabela poniżej.</w:t>
      </w:r>
    </w:p>
    <w:tbl>
      <w:tblPr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left w:w="108" w:type="dxa"/>
          <w:right w:w="108" w:type="dxa"/>
        </w:tblCellMar>
      </w:tblPr>
      <w:tblGrid/>
      <w:tr>
        <w:tblPrEx>
          <w:tblW w:w="5000" w:type="pct"/>
          <w:tblLayout w:type="fixed"/>
        </w:tblPrEx>
        <w:tc>
          <w:tcPr>
            <w:tcW w:w="5580" w:type="dxa"/>
            <w:tcBorders>
              <w:top w:val="nil" w:sz="0" w:space="0" w:shadow="0" w:frame="0"/>
              <w:left w:val="nil" w:sz="0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Wyszczególnienie</w:t>
            </w:r>
          </w:p>
        </w:tc>
        <w:tc>
          <w:tcPr>
            <w:tcW w:w="1500" w:type="dxa"/>
            <w:tcBorders>
              <w:top w:val="nil" w:sz="0" w:space="0" w:shadow="0" w:frame="0"/>
              <w:left w:val="single" w:sz="2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Przed zmianą</w:t>
            </w:r>
          </w:p>
        </w:tc>
        <w:tc>
          <w:tcPr>
            <w:tcW w:w="1500" w:type="dxa"/>
            <w:tcBorders>
              <w:top w:val="nil" w:sz="0" w:space="0" w:shadow="0" w:frame="0"/>
              <w:left w:val="single" w:sz="2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Zmiana</w:t>
            </w:r>
          </w:p>
        </w:tc>
        <w:tc>
          <w:tcPr>
            <w:tcW w:w="1500" w:type="dxa"/>
            <w:tcBorders>
              <w:top w:val="nil" w:sz="0" w:space="0" w:shadow="0" w:frame="0"/>
              <w:left w:val="single" w:sz="2" w:space="0" w:shadow="0" w:frame="0"/>
              <w:bottom w:val="single" w:sz="2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Po zmianie</w:t>
            </w:r>
          </w:p>
        </w:tc>
      </w:tr>
      <w:tr>
        <w:tblPrEx>
          <w:tblW w:w="5000" w:type="pct"/>
          <w:tblLayout w:type="fixed"/>
        </w:tblPrEx>
        <w:tc>
          <w:tcPr>
            <w:tcW w:w="5580" w:type="dxa"/>
            <w:tcBorders>
              <w:top w:val="single" w:sz="2" w:space="0" w:shadow="0" w:frame="0"/>
              <w:left w:val="nil" w:sz="0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ogółem: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50 338 636,31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95 098,00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2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50 433 734,31</w:t>
            </w:r>
          </w:p>
        </w:tc>
      </w:tr>
      <w:tr>
        <w:tblPrEx>
          <w:tblW w:w="5000" w:type="pct"/>
          <w:tblLayout w:type="fixed"/>
        </w:tblPrEx>
        <w:tc>
          <w:tcPr>
            <w:tcW w:w="5580" w:type="dxa"/>
            <w:tcBorders>
              <w:top w:val="single" w:sz="2" w:space="0" w:shadow="0" w:frame="0"/>
              <w:left w:val="nil" w:sz="0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wydatki bieżące, w tym: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31 460 612,19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95 098,00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2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31 555 710,19</w:t>
            </w:r>
          </w:p>
        </w:tc>
      </w:tr>
      <w:tr>
        <w:tblPrEx>
          <w:tblW w:w="5000" w:type="pct"/>
          <w:tblLayout w:type="fixed"/>
        </w:tblPrEx>
        <w:tc>
          <w:tcPr>
            <w:tcW w:w="5580" w:type="dxa"/>
            <w:tcBorders>
              <w:top w:val="single" w:sz="2" w:space="0" w:shadow="0" w:frame="0"/>
              <w:left w:val="nil" w:sz="0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1 281 174,67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2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3 676,00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single" w:sz="2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1 284 850,67</w:t>
            </w:r>
          </w:p>
        </w:tc>
      </w:tr>
      <w:tr>
        <w:tblPrEx>
          <w:tblW w:w="5000" w:type="pct"/>
          <w:tblLayout w:type="fixed"/>
        </w:tblPrEx>
        <w:tc>
          <w:tcPr>
            <w:tcW w:w="5580" w:type="dxa"/>
            <w:tcBorders>
              <w:top w:val="single" w:sz="2" w:space="0" w:shadow="0" w:frame="0"/>
              <w:left w:val="nil" w:sz="0" w:space="0" w:shadow="0" w:frame="0"/>
              <w:bottom w:val="nil" w:sz="0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Rodzina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nil" w:sz="0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2 704 389,35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nil" w:sz="0" w:space="0" w:shadow="0" w:frame="0"/>
              <w:right w:val="single" w:sz="2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91 422,00</w:t>
            </w:r>
          </w:p>
        </w:tc>
        <w:tc>
          <w:tcPr>
            <w:tcW w:w="1500" w:type="dxa"/>
            <w:tcBorders>
              <w:top w:val="single" w:sz="2" w:space="0" w:shadow="0" w:frame="0"/>
              <w:left w:val="single" w:sz="2" w:space="0" w:shadow="0" w:frame="0"/>
              <w:bottom w:val="nil" w:sz="0" w:space="0" w:shadow="0" w:frame="0"/>
              <w:right w:val="nil" w:sz="0" w:space="0" w:shadow="0" w:frame="0"/>
            </w:tcBorders>
            <w:noWrap w:val="0"/>
            <w:textDirection w:val="lrTb"/>
            <w:vAlign w:val="center"/>
          </w:tcPr>
          <w:p>
            <w:pPr>
              <w:spacing w:before="0" w:after="0" w:beforeAutospacing="0" w:afterAutospacing="0"/>
              <w:jc w:val="righ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 w:val="1"/>
                <w:sz w:val="14"/>
              </w:rPr>
              <w:t>2 795 811,35</w:t>
            </w:r>
          </w:p>
        </w:tc>
      </w:tr>
    </w:tbl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budżetu Miasta i Gminy Górzno na rok 2026 nie uległy zmianie.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Miasta i Gminy Górzno na rok 2026 nie uległy zmianie.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JaroszewskaM</dc:creator>
  <dcterms:created xsi:type="dcterms:W3CDTF">2026-08-26T11:46:32Z</dcterms:created>
  <cp:lastModifiedBy>JaroszewskaM</cp:lastModifiedBy>
  <dcterms:modified xsi:type="dcterms:W3CDTF">2026-08-26T09:53:03Z</dcterms:modified>
  <cp:revision>4</cp:revision>
  <dc:subject>w sprawie zmian w budżecie Miasta i Gminy Górzno na 2026 rok</dc:subject>
  <dc:title>Zarządzenie nr  213/2026 z dnia 18 sierpnia 2026 r.</dc:title>
</cp:coreProperties>
</file>