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FC232EC" Type="http://schemas.openxmlformats.org/officeDocument/2006/relationships/officeDocument" Target="/word/document.xml" /><Relationship Id="coreR6FC232E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pPr>
        <w:keepNext w:val="0"/>
        <w:keepLines w:val="0"/>
        <w:ind w:firstLine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caps w:val="0"/>
          <w:sz w:val="22"/>
        </w:rPr>
        <w:t>Uzasadnienie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Na podstawie art.18 ust.2 pkt 9 lit.b ustawy z dnia 8 marca 1990 r. o samorządzie gminnym (t.j. Dz. U. z 2026 r., poz. 662) do wyłącznej właściwości Rady Miejskiej należy podejmowanie uchwał w sprawie emitowania obligacji oraz określenia zasad ich zbywania, nabywania i wykupu.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W oparciu o art. 89 ust.1 pkt 2, pkt 3 ustawy z dnia 27 sierpnia 2009 r. o finansach publicznych (t.j. Dz. U. z 2025 r. poz. 1483 z późn.zm.) jednostki samorządu terytorialnego mogą emitować papiery wartościowe na finansowanie planowanego deficytu budżetu oraz spłatę wcześniej zaciągniętych zobowiązań z tytułu emisji papierów wartościowych oraz zaciągniętych pożyczek i kredytów.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Łączna kwota przewidzianych do wyemitowania przez Miasto i Gminę Górzno w roku 2026 obligacji wynosi 2 000 000,00 zł.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Środki pozyskane z emisji obligacji komunalnych przeznaczone zostaną na realizację zadań majątkowych w kwocie 2 000 000,00 zł, takich jak: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„Przebudowa drogi nr 080753C w Czarnym Bryńsku" w kwocie 140 000,00 zł,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"Przebudowa dróg gminnych na terenie Miasta i Gminy Górzno – ul. Śmigockiego" w kwocie 310 000,00 zł,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"Przebudowa drogi gminnej nr 080736C Gołkowo, odcinek dł. 0,470 km" w kwocie 350 000,00 zł,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"Termomodernizacja Zespołu Szkół w Górznie" w kwocie 1 200 000,00 zł.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 xml:space="preserve">Wykup obligacji następować będzie w latach 2028–2035 ze środków pochodzących z dochodów własnych Gminy.  Parametry emisji zostały zaplanowane tak, aby bez ryzyka zachować dopuszczalne wskaźniki spłaty długu, o których mowa w art. 243 ustawy o finansach publicznych. Wieloletnia Prognoza Finansowa Miasta i Gminy Górzno uwzględnia pełne kwoty rozchodów na wykup kapitału oraz wydatki na prowizje i odsetki.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Podjęcie uchwały jest zasadne z uwagi na trwające prace inwestycyjne oraz zbliżające się terminy płatności wynikające z zawartych umów.</w:t>
      </w:r>
    </w:p>
    <w:sectPr>
      <w:endnotePr>
        <w:numFmt w:val="decimal"/>
      </w:endnotePr>
      <w:type w:val="nextPage"/>
      <w:pgSz w:w="11906" w:h="16838" w:code="0"/>
      <w:pgMar w:left="1020" w:right="1020" w:top="992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JaroszewskaM</dc:creator>
  <dcterms:created xsi:type="dcterms:W3CDTF">2026-09-01T08:48:55Z</dcterms:created>
  <cp:lastModifiedBy>JaroszewskaM</cp:lastModifiedBy>
  <dcterms:modified xsi:type="dcterms:W3CDTF">2026-09-04T09:49:24Z</dcterms:modified>
  <cp:revision>3</cp:revision>
  <dc:subject>w sprawie emisji obligacji oraz zasad ich zbywania, nabywania i wykupu</dc:subject>
  <dc:title>Uchwała nr  XXVIII/182/2026 z dnia 31 sierpnia 2026 r.</dc:title>
</cp:coreProperties>
</file>