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661B7AED" Type="http://schemas.openxmlformats.org/officeDocument/2006/relationships/officeDocument" Target="/word/document.xml" /><Relationship Id="coreR661B7AED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W związku ze zmianą sposobu finansowania zadań inwestycyjnych ujętych w budżecie Miasta i Gminy Górzno na rok 2026, odstępuje się od zaplanowanej emisji obligacji komunalnych. Planowany deficyt budżetu zostanie pokryty z innego źródła przychodów, tj. z wolnych środków, o których mowa w art. 217 ust. 2 pkt 6 ustawy o finansach publicznych.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Wobec zaplanowanego wykreślenia z budżetu na 2026 rok przychodów z tytułu emisji papierów wartościowych, dalsze obowiązywanie uchwały Nr XXVIII/182/2026 Rady Miejskiej w Górznie z dnia 31 sierpnia 2026 r. jest bezprzedmiotowe. Uchylenie wskazanej uchwały porządkuje stan prawny i jest konieczne dla zapewnienia spójności z aktualną uchwałą budżetową.</w:t>
      </w:r>
    </w:p>
    <w:sectPr>
      <w:endnotePr>
        <w:numFmt w:val="decimal"/>
      </w:endnotePr>
      <w:type w:val="nextPage"/>
      <w:pgSz w:w="11906" w:h="16838" w:code="0"/>
      <w:pgMar w:left="1020" w:right="1020" w:top="992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JaroszewskaM</dc:creator>
  <dcterms:created xsi:type="dcterms:W3CDTF">2026-10-01T10:49:47Z</dcterms:created>
  <cp:lastModifiedBy>JaroszewskaM</cp:lastModifiedBy>
  <dcterms:modified xsi:type="dcterms:W3CDTF">2026-10-02T09:44:10Z</dcterms:modified>
  <cp:revision>4</cp:revision>
  <dc:subject>w sprawie uchylenia uchwały w sprawie emisji obligacji oraz zasad ich zbywania, nabywania i wykupu</dc:subject>
  <dc:title>Uchwała nr  XXIX/190/2026 z dnia 30 września 2026 r.</dc:title>
</cp:coreProperties>
</file>