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FBF97C6" Type="http://schemas.openxmlformats.org/officeDocument/2006/relationships/officeDocument" Target="/word/document.xml" /><Relationship Id="coreR4FBF97C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Na podstawie art. 8 ustawy z dnia 29 sierpnia 2003 r. o urzędowych nazwach miejscowości i obiektów fizjograficznych, urzędowa nazwa miejscowości jest ustalana, zmieniana lub znoszona na wniosek rady gminy na obszarze, której jest położona miejscowość.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ab/>
        <w:t>Z uwagi na fakt, że części miasta Górzno wskazane w uchwale są niezamieszkałe, nie funkcjonują i nie mają punktów adresowych zasadne jest zniesienie ich urzędowej nazwy.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ab/>
        <w:t>Mając na uwadze powyższe, podjęcie uchwały jest konieczne.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2026-10-27T13:14:14Z</dcterms:created>
  <cp:lastModifiedBy>JaroszewskaM</cp:lastModifiedBy>
  <dcterms:modified xsi:type="dcterms:W3CDTF">2026-10-29T10:55:04Z</dcterms:modified>
  <cp:revision>4</cp:revision>
  <dc:subject>w sprawie wystąpienia z wnioskiem o zniesienie urzędowej nazwy miejscowości</dc:subject>
  <dc:title>Uchwała nr  XXX/197/2026 z dnia 29 października 2026 r.</dc:title>
</cp:coreProperties>
</file>