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338E7AF" Type="http://schemas.openxmlformats.org/officeDocument/2006/relationships/officeDocument" Target="/word/document.xml" /><Relationship Id="coreR1338E7AF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z w:val="22"/>
          <w:vertAlign w:val="baseline"/>
        </w:rPr>
        <w:t>Z treści art. 13 ust. 1 </w:t>
      </w:r>
      <w:r>
        <w:rPr>
          <w:rFonts w:ascii="Times New Roman" w:hAnsi="Times New Roman"/>
          <w:b w:val="0"/>
          <w:i w:val="1"/>
          <w:caps w:val="0"/>
          <w:strike w:val="0"/>
          <w:color w:val="000000"/>
          <w:sz w:val="22"/>
          <w:u w:val="none" w:color="000000"/>
          <w:vertAlign w:val="baseline"/>
        </w:rPr>
        <w:t>ustawy z dnia 21 sierpnia 1997 r. o gospodarce nieruchomościami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 wynika, iż nieruchomości gminne mogą być m.in. obciążane ograniczonymi prawami rzeczowymi. Z kolei zgodnie z brzmieniem art. 18 ust. 2 pkt. 9 lit. a </w:t>
      </w:r>
      <w:r>
        <w:rPr>
          <w:rFonts w:ascii="Times New Roman" w:hAnsi="Times New Roman"/>
          <w:b w:val="0"/>
          <w:i w:val="1"/>
          <w:caps w:val="0"/>
          <w:strike w:val="0"/>
          <w:color w:val="000000"/>
          <w:sz w:val="22"/>
          <w:u w:val="none" w:color="000000"/>
          <w:vertAlign w:val="baseline"/>
        </w:rPr>
        <w:t>ustawy z dnia 8 marca 1990 r. o samorządzie gminnym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, organem uprawnionym do podejmowania decyzji w zakresie o którym mowa wyżej jest organ stanowiący Gminy.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wnioskiem o ustanowienie służebności gruntowej na działce nr 139/6, położonej w Zaborowie, obręb geodezyjny Zaborowo, stanowiącej drogę wewnętrzną wystąpiło Energa – Operator S.A. Oddział w Toruniu KRS 0000033455 za pośrednictwem pełnomocnika w celu posadowienia przyłącza kablowego nn 0,4 kV.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służebności ustalony został w sposób, który będzie jedynie w minimalnym stopniu ograniczał korzystanie z nieruchomości gminnej stanowiącej drogę wewnętrzną i nie wpłynie negatywnie na możliwości w zakresie jej przyszłego utrzymania, a także budowy, rozbudowy, przebudowy czy remontu.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Służebność zostanie ustanowiona odpłatnie, na czas określony 45 lat od daty ustanowienia służebności przesyłu tożsamej z datą zawarcia umowy w formie aktu notarialnego o ustanowienie służebności przesyłu i polegać będzie na prawie wstępu w niezbędnym zakresie na przedmiotową nieruchomość w celu posadowienia lub znoszenia istnienia urządzenia, konserwacji, remontów, modernizacji, usuwania awarii oraz przebudowy urządzenia z obowiązkiem każdorazowego przywrócenia terenu do stanu pierwotnego na koszt Energa – Operator S.A. oraz jego następców prawnych. W przypadku poniesienia szkód w wyniku ww. działań, wysokość odszkodowania należnego Miastu i Gminie Górzno będzie ustalona na podstawie odrębnego protokołu sporządzonego przez Energa – Operator S.A. Oddział w Toruniu i Miasto i Gminę Górzno na drodze porozumienia. W przypadku jego braku wysokość odszkodowania ustalana będzie na podstawie operatu szacunkowego sporządzonego przez uprawnionego rzeczoznawcę majątkowego.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W tym stanie faktycznym i prawnym podjęcie niniejszej  uchwały jest zasadne.</w:t>
      </w:r>
    </w:p>
    <w:sectPr>
      <w:endnotePr>
        <w:numFmt w:val="decimal"/>
      </w:endnotePr>
      <w:type w:val="nextPage"/>
      <w:pgSz w:w="11906" w:h="16838" w:code="0"/>
      <w:pgMar w:left="1020" w:right="1020" w:top="992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JaroszewskaM</dc:creator>
  <dcterms:created xsi:type="dcterms:W3CDTF">2026-10-29T11:55:48Z</dcterms:created>
  <cp:lastModifiedBy>JaroszewskaM</cp:lastModifiedBy>
  <dcterms:modified xsi:type="dcterms:W3CDTF">2026-10-29T10:55:53Z</dcterms:modified>
  <cp:revision>2</cp:revision>
  <dc:subject>w sprawie wyrażenia zgody na ustanowienie odpłatnej służebności przesyłu na rzecz Energa – Operator S.A. Oddział w Toruniu</dc:subject>
  <dc:title>Uchwała nr  XXX/198/2026 z dnia 29 października 2026 r.</dc:title>
</cp:coreProperties>
</file>