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8F90EE5" Type="http://schemas.openxmlformats.org/officeDocument/2006/relationships/officeDocument" Target="/word/document.xml" /><Relationship Id="coreR8F90EE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</w:rPr>
      </w:pPr>
      <w:r>
        <w:rPr>
          <w:b w:val="1"/>
          <w:caps w:val="1"/>
        </w:rPr>
        <w:t>uzasadnienie</w:t>
      </w:r>
    </w:p>
    <w:p>
      <w:pPr>
        <w:pStyle w:val="P1"/>
      </w:pPr>
      <w:r>
        <w:t>DOCHODY</w:t>
      </w:r>
    </w:p>
    <w:p>
      <w:r>
        <w:t>Dochody budżetu Miasta i Gminy Górzno na rok 2024 zostają zwiększone o kwotę 9 000,00 zł do kwoty 34 171 480,61 zł, w tym:</w:t>
      </w:r>
    </w:p>
    <w:p>
      <w:pPr>
        <w:pStyle w:val="P2"/>
        <w:numPr>
          <w:ilvl w:val="0"/>
          <w:numId w:val="1"/>
        </w:numPr>
      </w:pPr>
      <w:r>
        <w:t>dochody bieżące ulegają zwiększeniu o kwotę 9 000,00 zł do kwoty 23 597 432,33 zł,</w:t>
      </w:r>
    </w:p>
    <w:p>
      <w:pPr>
        <w:pStyle w:val="P2"/>
        <w:numPr>
          <w:ilvl w:val="0"/>
          <w:numId w:val="1"/>
        </w:numPr>
      </w:pPr>
      <w:r>
        <w:t>dochody majątkowe nie uległy zmianie.</w:t>
      </w:r>
    </w:p>
    <w:p>
      <w:pPr>
        <w:pStyle w:val="P1"/>
      </w:pPr>
      <w:r>
        <w:t>Dokonuje się następujących zwiększeń po stronie dochodów bieżących:</w:t>
      </w:r>
    </w:p>
    <w:p>
      <w:pPr>
        <w:pStyle w:val="P1"/>
      </w:pPr>
    </w:p>
    <w:p>
      <w:pPr>
        <w:pStyle w:val="P1"/>
        <w:rPr>
          <w:sz w:val="22"/>
        </w:rPr>
      </w:pPr>
      <w:r>
        <w:rPr>
          <w:sz w:val="22"/>
          <w:lang w:val="pl-PL" w:bidi="pl-PL" w:eastAsia="pl-PL"/>
        </w:rPr>
        <w:t>Na podstawie decyzji Wojewody Kujawsko-Pomorskiego nr WFB.I.3120.3.21.2024 z dnia 4 kwietnia 2024 r.:</w:t>
      </w:r>
    </w:p>
    <w:p>
      <w:pPr>
        <w:pStyle w:val="P2"/>
        <w:numPr>
          <w:ilvl w:val="0"/>
          <w:numId w:val="2"/>
        </w:numPr>
      </w:pPr>
      <w:r>
        <w:t>w dziale „Transport i łączność” w rozdziale „Lokalny transport zbiorowy” w ramach paragrafu „Dotacja celowa otrzymana z budżetu państwa na realizację zadań bieżących z zakresu administracji rządowej oraz innych zadań zleconych gminie (związkom gmin, związkom powiatowo-gminnym) ustawami” wprowadza się dochody w kwocie 9 000,00 zł</w:t>
      </w:r>
      <w:r>
        <w:rPr>
          <w:lang w:val="pl-PL" w:bidi="pl-PL" w:eastAsia="pl-PL"/>
        </w:rPr>
        <w:t xml:space="preserve"> - </w:t>
      </w:r>
      <w:r>
        <w:rPr>
          <w:b w:val="1"/>
          <w:lang w:val="pl-PL" w:bidi="pl-PL" w:eastAsia="pl-PL"/>
        </w:rPr>
        <w:t>z przeznaczeniem na sfinansowanie wydatków wynikających z realizacji zadań, określonych w art. 37e i 37f ustawy z dnia 5 stycznia 2011 r. - Kodeks wyborczy.... Środki przeznaczone są na zorganizowanie przez gminy dowozu wyborców do lokali wyborczych w dniu 7.04.2024 r.(I tura) i 21.04.2024 r. (II tura)</w:t>
      </w:r>
      <w:r>
        <w:t>;</w:t>
      </w:r>
    </w:p>
    <w:p>
      <w:r>
        <w:t>Podsumowanie zmian dochodów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34 162 480,61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9 000,00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34 171 480,61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23 588 432,33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9 000,00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23 597 432,33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Transport i łączność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12 983,09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9 000,00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21 983,09</w:t>
            </w:r>
          </w:p>
        </w:tc>
      </w:tr>
    </w:tbl>
    <w:p/>
    <w:p>
      <w:pPr>
        <w:pStyle w:val="P1"/>
      </w:pPr>
      <w:r>
        <w:t>WYDATKI</w:t>
      </w:r>
    </w:p>
    <w:p>
      <w:r>
        <w:t>Wydatki budżetu Miasta i Gminy Górzno na rok 2024 zostają zwiększone o kwotę 9 000,00 zł do kwoty 38 096 297,64 zł, w tym:</w:t>
      </w:r>
    </w:p>
    <w:p>
      <w:pPr>
        <w:pStyle w:val="P2"/>
        <w:numPr>
          <w:ilvl w:val="0"/>
          <w:numId w:val="3"/>
        </w:numPr>
      </w:pPr>
      <w:r>
        <w:t>wydatki bieżące ulegają zwiększeniu o kwotę 9 000,00 zł do kwoty 25 163 461,87 zł,</w:t>
      </w:r>
    </w:p>
    <w:p>
      <w:pPr>
        <w:pStyle w:val="P2"/>
        <w:numPr>
          <w:ilvl w:val="0"/>
          <w:numId w:val="3"/>
        </w:numPr>
      </w:pPr>
      <w:r>
        <w:t>wydatki majątkowe nie uległy zmianie.</w:t>
      </w:r>
    </w:p>
    <w:p>
      <w:pPr>
        <w:pStyle w:val="P1"/>
      </w:pPr>
      <w:r>
        <w:t>Dokonuje się następujących zwiększeń po stronie wydatków bieżących:</w:t>
      </w:r>
    </w:p>
    <w:p>
      <w:pPr>
        <w:pStyle w:val="P2"/>
        <w:numPr>
          <w:ilvl w:val="0"/>
          <w:numId w:val="4"/>
        </w:numPr>
      </w:pPr>
      <w:r>
        <w:t>w dziale „Transport i łączność” w rozdziale „Lokalny transport zbiorowy” w ramach paragrafu „Zakup usług pozostałych” wprowadza się wydatki w kwocie 9 000,00 zł</w:t>
      </w:r>
      <w:r>
        <w:rPr>
          <w:lang w:val="pl-PL" w:bidi="pl-PL" w:eastAsia="pl-PL"/>
        </w:rPr>
        <w:t xml:space="preserve"> -</w:t>
      </w:r>
      <w:r>
        <w:rPr>
          <w:b w:val="1"/>
          <w:lang w:val="pl-PL" w:bidi="pl-PL" w:eastAsia="pl-PL"/>
        </w:rPr>
        <w:t>ś</w:t>
      </w:r>
      <w:r>
        <w:rPr>
          <w:b w:val="1"/>
          <w:shd w:val="clear" w:color="auto" w:fill="FFFFFF"/>
          <w:lang w:val="pl-PL" w:bidi="pl-PL" w:eastAsia="pl-PL"/>
        </w:rPr>
        <w:t xml:space="preserve">rodki  na zorganizowanie przez gminy dowozu wyborców do lokali wyborczych w dniu 7.04.2024 r.(I tura) i 21.04.2024 r. (II tura)</w:t>
      </w:r>
      <w:r>
        <w:rPr>
          <w:lang w:val="pl-PL" w:bidi="pl-PL" w:eastAsia="pl-PL"/>
        </w:rPr>
        <w:t xml:space="preserve"> </w:t>
      </w:r>
      <w:r>
        <w:t>;</w:t>
      </w:r>
    </w:p>
    <w:p>
      <w:pPr>
        <w:pStyle w:val="P2"/>
        <w:numPr>
          <w:ilvl w:val="0"/>
          <w:numId w:val="4"/>
        </w:numPr>
      </w:pPr>
      <w:r>
        <w:t>w dziale „Administracja publiczna” w rozdziale „Urzędy gmin (miast i miast na prawach powiatu)” w ramach paragrafu „Zakup usług pozostałych” zwiększa się wydatki o 46 920,00 zł do kwoty 199 460,00 zł</w:t>
      </w:r>
      <w:r>
        <w:rPr>
          <w:lang w:val="pl-PL" w:bidi="pl-PL" w:eastAsia="pl-PL"/>
        </w:rPr>
        <w:t xml:space="preserve"> </w:t>
      </w:r>
      <w:r>
        <w:rPr>
          <w:b w:val="1"/>
          <w:lang w:val="pl-PL" w:bidi="pl-PL" w:eastAsia="pl-PL"/>
        </w:rPr>
        <w:t>- przesunięto środki z par.4390</w:t>
      </w:r>
      <w:r>
        <w:t>;</w:t>
      </w:r>
    </w:p>
    <w:p>
      <w:pPr>
        <w:pStyle w:val="P2"/>
        <w:numPr>
          <w:ilvl w:val="0"/>
          <w:numId w:val="4"/>
        </w:numPr>
      </w:pPr>
      <w:r>
        <w:t>w dziale „Administracja publiczna” w rozdziale „Urzędy gmin (miast i miast na prawach powiatu)” w ramach paragrafu „Koszty postępowania sądowego i prokuratorskiego” wprowadza się wydatki w kwocie 1 367,50 zł</w:t>
      </w:r>
      <w:r>
        <w:rPr>
          <w:lang w:val="pl-PL" w:bidi="pl-PL" w:eastAsia="pl-PL"/>
        </w:rPr>
        <w:t xml:space="preserve"> - </w:t>
      </w:r>
      <w:r>
        <w:rPr>
          <w:b w:val="1"/>
          <w:lang w:val="pl-PL" w:bidi="pl-PL" w:eastAsia="pl-PL"/>
        </w:rPr>
        <w:t>przesunięto środki z par. 4390 i 4430</w:t>
      </w:r>
      <w:r>
        <w:t>;</w:t>
      </w:r>
    </w:p>
    <w:p>
      <w:pPr>
        <w:pStyle w:val="P2"/>
      </w:pPr>
    </w:p>
    <w:p>
      <w:pPr>
        <w:pStyle w:val="P2"/>
        <w:ind w:left="709"/>
      </w:pPr>
      <w:r>
        <w:rPr>
          <w:lang w:val="pl-PL" w:bidi="pl-PL" w:eastAsia="pl-PL"/>
        </w:rPr>
        <w:t>W d</w:t>
      </w:r>
      <w:r>
        <w:rPr>
          <w:shd w:val="clear" w:color="auto" w:fill="FFFFFF"/>
        </w:rPr>
        <w:t xml:space="preserve">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</w:t>
      </w:r>
      <w:r>
        <w:rPr>
          <w:shd w:val="clear" w:color="auto" w:fill="FFFFFF"/>
          <w:lang w:val="pl-PL" w:bidi="pl-PL" w:eastAsia="pl-PL"/>
        </w:rPr>
        <w:t>dokonuje się przesunięć między paragrafami dostosowując plan do aktualnych potrzeb tj.:</w:t>
      </w:r>
    </w:p>
    <w:p>
      <w:pPr>
        <w:pStyle w:val="P2"/>
        <w:numPr>
          <w:ilvl w:val="0"/>
          <w:numId w:val="4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„Różne wydatki na rzecz osób fizycznych ” zwiększa się wydatki o 345,00 zł do kwoty 44 945,00 zł;</w:t>
      </w:r>
    </w:p>
    <w:p>
      <w:pPr>
        <w:pStyle w:val="P2"/>
        <w:numPr>
          <w:ilvl w:val="0"/>
          <w:numId w:val="4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„Zakup materiałów i wyposażenia” zwiększa się wydatki o 419,27 zł do kwoty 4 616,27 zł;</w:t>
      </w:r>
    </w:p>
    <w:p>
      <w:pPr>
        <w:pStyle w:val="P2"/>
        <w:numPr>
          <w:ilvl w:val="0"/>
          <w:numId w:val="4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„Zakup usług pozostałych” zwiększa się wydatki o 3 639,46 zł do kwoty 8 639,46 zł;</w:t>
      </w:r>
    </w:p>
    <w:p>
      <w:pPr>
        <w:pStyle w:val="P1"/>
      </w:pPr>
      <w:r>
        <w:t>Dokonuje się następujących zmniejszeń po stronie wydatków bieżących:</w:t>
      </w:r>
    </w:p>
    <w:p>
      <w:pPr>
        <w:pStyle w:val="P2"/>
        <w:numPr>
          <w:ilvl w:val="0"/>
          <w:numId w:val="5"/>
        </w:numPr>
      </w:pPr>
      <w:r>
        <w:t>w dziale „Administracja publiczna” w rozdziale „Urzędy gmin (miast i miast na prawach powiatu)” w ramach paragrafu „Zakup usług obejmujących wykonanie ekspertyz, analiz i opinii” zmniejsza się wydatki o 47 287,50 zł do kwoty 0,00 zł</w:t>
      </w:r>
      <w:r>
        <w:rPr>
          <w:lang w:val="pl-PL" w:bidi="pl-PL" w:eastAsia="pl-PL"/>
        </w:rPr>
        <w:t xml:space="preserve"> - </w:t>
      </w:r>
      <w:r>
        <w:rPr>
          <w:b w:val="1"/>
          <w:lang w:val="pl-PL" w:bidi="pl-PL" w:eastAsia="pl-PL"/>
        </w:rPr>
        <w:t>środki przesunięto do par. 4300 oraz 4610</w:t>
      </w:r>
      <w:r>
        <w:t>;</w:t>
      </w:r>
    </w:p>
    <w:p>
      <w:pPr>
        <w:pStyle w:val="P2"/>
        <w:numPr>
          <w:ilvl w:val="0"/>
          <w:numId w:val="5"/>
        </w:numPr>
      </w:pPr>
      <w:r>
        <w:t>w dziale „Administracja publiczna” w rozdziale „Urzędy gmin (miast i miast na prawach powiatu)” w ramach paragrafu „Różne opłaty i składki” zmniejsza się wydatki o 1 000,00 zł do kwoty 27 000,00 zł</w:t>
      </w:r>
      <w:r>
        <w:rPr>
          <w:lang w:val="pl-PL" w:bidi="pl-PL" w:eastAsia="pl-PL"/>
        </w:rPr>
        <w:t xml:space="preserve"> - </w:t>
      </w:r>
      <w:r>
        <w:rPr>
          <w:b w:val="1"/>
          <w:lang w:val="pl-PL" w:bidi="pl-PL" w:eastAsia="pl-PL"/>
        </w:rPr>
        <w:t>środki przesunięto do par.4610</w:t>
      </w:r>
      <w:r>
        <w:t>;</w:t>
      </w:r>
    </w:p>
    <w:p>
      <w:pPr>
        <w:pStyle w:val="P2"/>
        <w:numPr>
          <w:ilvl w:val="0"/>
          <w:numId w:val="5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„Wynagrodzenia osobowe pracowników” zmniejsza się wydatki o 1 490,00 zł do kwoty 510,00 zł;</w:t>
      </w:r>
    </w:p>
    <w:p>
      <w:pPr>
        <w:pStyle w:val="P2"/>
        <w:numPr>
          <w:ilvl w:val="0"/>
          <w:numId w:val="5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„Składki na ubezpieczenia społeczne” zmniejsza się wydatki o 1 123,66 zł do kwoty 1 376,34 zł;</w:t>
      </w:r>
    </w:p>
    <w:p>
      <w:pPr>
        <w:pStyle w:val="P2"/>
        <w:numPr>
          <w:ilvl w:val="0"/>
          <w:numId w:val="5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„Składki na Fundusz Pracy oraz Fundusz Solidarnościowy” zmniejsza się wydatki o 304,67 zł do kwoty 195,33 zł;</w:t>
      </w:r>
    </w:p>
    <w:p>
      <w:pPr>
        <w:pStyle w:val="P2"/>
        <w:numPr>
          <w:ilvl w:val="0"/>
          <w:numId w:val="5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„Wynagrodzenia bezosobowe” zmniejsza się wydatki o 935,40 zł do kwoty 9 564,60 zł;</w:t>
      </w:r>
    </w:p>
    <w:p>
      <w:pPr>
        <w:pStyle w:val="P2"/>
        <w:numPr>
          <w:ilvl w:val="0"/>
          <w:numId w:val="5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„Podróże służbowe krajowe” zmniejsza się wydatki o 479,30 zł do kwoty 1 020,70 zł;</w:t>
      </w:r>
    </w:p>
    <w:p>
      <w:pPr>
        <w:pStyle w:val="P2"/>
        <w:numPr>
          <w:ilvl w:val="0"/>
          <w:numId w:val="5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„Wpłaty na PPK finansowane przez podmiot zatrudniający” zmniejsza się wydatki o 70,70 zł do kwoty 29,30 zł;</w:t>
      </w:r>
    </w:p>
    <w:p>
      <w:r>
        <w:t>Podsumowanie zmian wydatków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38 087 297,64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9 000,00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38 096 297,64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25 154 461,87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9 000,00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25 163 461,87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Transport i łączność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1 113 529,89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9 000,00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1 122 529,89</w:t>
            </w:r>
          </w:p>
        </w:tc>
      </w:tr>
    </w:tbl>
    <w:p/>
    <w:p>
      <w:pPr>
        <w:pStyle w:val="P1"/>
      </w:pPr>
      <w:r>
        <w:t>PRZYCHODY</w:t>
      </w:r>
    </w:p>
    <w:p>
      <w:pPr>
        <w:pStyle w:val="P7"/>
      </w:pPr>
      <w:r>
        <w:t>Przychody budżetu Miasta i Gminy Górzno na rok 2024 nie uległy zmianie.</w:t>
      </w:r>
    </w:p>
    <w:p>
      <w:pPr>
        <w:pStyle w:val="P1"/>
      </w:pPr>
      <w:r>
        <w:t>ROZCHODY</w:t>
      </w:r>
    </w:p>
    <w:p>
      <w:pPr>
        <w:pStyle w:val="P7"/>
      </w:pPr>
      <w:r>
        <w:t>Rozchody budżetu Miasta i Gminy Górzno na rok 2024 nie uległy zmianie.</w:t>
      </w:r>
    </w:p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JaroszewskaM</cp:lastModifiedBy>
  <dcterms:modified xsi:type="dcterms:W3CDTF">2024-04-05T11:57:05Z</dcterms:modified>
  <cp:revision>26</cp:revision>
</cp:coreProperties>
</file>