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41C3C4" Type="http://schemas.openxmlformats.org/officeDocument/2006/relationships/officeDocument" Target="/word/document.xml" /><Relationship Id="coreR241C3C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360" w:beforeAutospacing="0" w:afterAutospacing="0"/>
        <w:jc w:val="center"/>
        <w:rPr>
          <w:b w:val="1"/>
          <w:caps w:val="1"/>
          <w:sz w:val="22"/>
        </w:rPr>
      </w:pPr>
      <w:r>
        <w:rPr>
          <w:b w:val="1"/>
          <w:caps w:val="1"/>
          <w:sz w:val="22"/>
        </w:rPr>
        <w:t>uzasadnienie</w:t>
      </w:r>
    </w:p>
    <w:p>
      <w:pPr>
        <w:pStyle w:val="P1"/>
        <w:rPr>
          <w:sz w:val="22"/>
        </w:rPr>
      </w:pPr>
      <w:r>
        <w:rPr>
          <w:sz w:val="22"/>
        </w:rPr>
        <w:t>DOCHODY</w:t>
      </w:r>
    </w:p>
    <w:p>
      <w:pPr>
        <w:rPr>
          <w:sz w:val="22"/>
        </w:rPr>
      </w:pPr>
      <w:r>
        <w:rPr>
          <w:sz w:val="22"/>
        </w:rPr>
        <w:t>Dochody budżetu Miasta i Gminy Górzno na rok 2024 zostają zwiększone o kwotę 97 030,85 zł do kwoty 34 268 511,46 zł, w tym:</w:t>
      </w:r>
    </w:p>
    <w:p>
      <w:pPr>
        <w:pStyle w:val="P2"/>
        <w:numPr>
          <w:ilvl w:val="0"/>
          <w:numId w:val="6"/>
        </w:numPr>
        <w:rPr>
          <w:sz w:val="22"/>
        </w:rPr>
      </w:pPr>
      <w:r>
        <w:rPr>
          <w:sz w:val="22"/>
        </w:rPr>
        <w:t>dochody bieżące ulegają zwiększeniu o kwotę 99 565,85 zł do kwoty 23 696 998,18 zł,</w:t>
      </w:r>
    </w:p>
    <w:p>
      <w:pPr>
        <w:pStyle w:val="P2"/>
        <w:numPr>
          <w:ilvl w:val="0"/>
          <w:numId w:val="6"/>
        </w:numPr>
        <w:rPr>
          <w:sz w:val="22"/>
        </w:rPr>
      </w:pPr>
      <w:r>
        <w:rPr>
          <w:sz w:val="22"/>
        </w:rPr>
        <w:t>dochody majątkowe ulegają zmniejszeniu o kwotę 2 535,00 zł do kwoty 10 571 513,28 zł</w:t>
      </w:r>
    </w:p>
    <w:p>
      <w:pPr>
        <w:pStyle w:val="P1"/>
        <w:rPr>
          <w:sz w:val="22"/>
        </w:rPr>
      </w:pPr>
      <w:r>
        <w:rPr>
          <w:sz w:val="22"/>
        </w:rPr>
        <w:t>Dokonuje się następujących zwiększeń po stronie dochodów bieżących:</w:t>
      </w:r>
    </w:p>
    <w:p>
      <w:pPr>
        <w:pStyle w:val="P2"/>
        <w:numPr>
          <w:ilvl w:val="0"/>
          <w:numId w:val="7"/>
        </w:numPr>
        <w:rPr>
          <w:sz w:val="22"/>
        </w:rPr>
      </w:pPr>
      <w:r>
        <w:rPr>
          <w:sz w:val="22"/>
        </w:rPr>
        <w:t>w dziale „Dochody od osób prawnych, od osób fizycznych i od innych jednostek nieposiadających osobowości prawnej oraz wydatki związane z ich poborem” w rozdziale „Wpływy z innych opłat stanowiących dochody jednostek samorządu terytorialnego na podstawie ustaw” w ramach paragrafu „Wpływy z opłaty eksploatacyjnej” wprowadza się dochody w kwocie 29 220,00 zł</w:t>
      </w:r>
      <w:r>
        <w:rPr>
          <w:sz w:val="22"/>
          <w:lang w:val="pl-PL" w:bidi="pl-PL" w:eastAsia="pl-PL"/>
        </w:rPr>
        <w:t xml:space="preserve"> - </w:t>
      </w:r>
      <w:r>
        <w:rPr>
          <w:b w:val="1"/>
          <w:sz w:val="22"/>
          <w:lang w:val="pl-PL" w:bidi="pl-PL" w:eastAsia="pl-PL"/>
        </w:rPr>
        <w:t>zmiana klasyfikacji dochodu</w:t>
      </w:r>
      <w:r>
        <w:rPr>
          <w:sz w:val="22"/>
        </w:rPr>
        <w:t>;</w:t>
      </w:r>
    </w:p>
    <w:p>
      <w:pPr>
        <w:pStyle w:val="P2"/>
        <w:numPr>
          <w:ilvl w:val="0"/>
          <w:numId w:val="7"/>
        </w:numPr>
        <w:rPr>
          <w:sz w:val="22"/>
        </w:rPr>
      </w:pPr>
      <w:r>
        <w:rPr>
          <w:sz w:val="22"/>
        </w:rPr>
        <w:t>w dziale „Dochody od osób prawnych, od osób fizycznych i od innych jednostek nieposiadających osobowości prawnej oraz wydatki związane z ich poborem” w rozdziale „Wpływy z innych opłat stanowiących dochody jednostek samorządu terytorialnego na podstawie ustaw” w ramach paragrafu „Wpływy z odsetek od nieterminowych wpłat z tytułu podatków i opłat” wprowadza się dochody w kwocie 120,00 zł</w:t>
      </w:r>
      <w:r>
        <w:rPr>
          <w:sz w:val="22"/>
          <w:lang w:val="pl-PL" w:bidi="pl-PL" w:eastAsia="pl-PL"/>
        </w:rPr>
        <w:t xml:space="preserve"> - </w:t>
      </w:r>
      <w:r>
        <w:rPr>
          <w:b w:val="1"/>
          <w:sz w:val="22"/>
          <w:shd w:val="clear" w:color="auto" w:fill="FFFFFF"/>
          <w:lang w:val="pl-PL" w:bidi="pl-PL" w:eastAsia="pl-PL"/>
        </w:rPr>
        <w:t>zmiana klasyfikacji dochodu</w:t>
      </w:r>
      <w:r>
        <w:rPr>
          <w:sz w:val="22"/>
        </w:rPr>
        <w:t>;</w:t>
      </w:r>
    </w:p>
    <w:p>
      <w:pPr>
        <w:pStyle w:val="P2"/>
        <w:numPr>
          <w:ilvl w:val="0"/>
          <w:numId w:val="7"/>
        </w:numPr>
        <w:rPr>
          <w:sz w:val="22"/>
        </w:rPr>
      </w:pPr>
      <w:r>
        <w:rPr>
          <w:sz w:val="22"/>
        </w:rPr>
        <w:t>w dziale „Pozostałe zadania w zakresie polityki społecznej” w rozdziale „Pozostała działalność” w ramach paragrafu „Środki z Funduszu Przeciwdziałania COVID-19 na finansowanie lub dofinansowanie realizacji zadań związanych z przeciwdziałaniem COVID-19” wprowadza się dochody w kwocie 99 605,85 zł</w:t>
      </w:r>
      <w:r>
        <w:rPr>
          <w:sz w:val="22"/>
          <w:lang w:val="pl-PL" w:bidi="pl-PL" w:eastAsia="pl-PL"/>
        </w:rPr>
        <w:t xml:space="preserve"> - </w:t>
      </w:r>
      <w:r>
        <w:rPr>
          <w:b w:val="1"/>
          <w:sz w:val="22"/>
          <w:lang w:val="pl-PL" w:bidi="pl-PL" w:eastAsia="pl-PL"/>
        </w:rPr>
        <w:t>informacja Wojewody Kujawsko-Pomorskiego nr WFB.V.1612.138.2024 z dnia 27 marca 2024 r. - środki na wypłatę przez Gminę świadczeń pieniężnych, w ramach pomocy prznanaej w związku z wejściem w życie ustawy z dnia 7 grudnia 2023 r. o zmianie ustaw w celu wsparcia odbiorców energii elektrycznej, paliw gazowych i ciepła - dotyczyczy wypłaty wyrównań dla przedsiębiorstw energetycznych za I kwartał 2024 r.</w:t>
      </w:r>
      <w:r>
        <w:rPr>
          <w:sz w:val="22"/>
        </w:rPr>
        <w:t>;</w:t>
      </w:r>
    </w:p>
    <w:p>
      <w:pPr>
        <w:pStyle w:val="P1"/>
        <w:rPr>
          <w:sz w:val="22"/>
        </w:rPr>
      </w:pPr>
      <w:r>
        <w:rPr>
          <w:sz w:val="22"/>
        </w:rPr>
        <w:t>Dokonuje się następujących zmniejszeń po stronie dochodów bieżących:</w:t>
      </w:r>
    </w:p>
    <w:p>
      <w:pPr>
        <w:pStyle w:val="P2"/>
        <w:numPr>
          <w:ilvl w:val="0"/>
          <w:numId w:val="8"/>
        </w:numPr>
        <w:rPr>
          <w:sz w:val="22"/>
        </w:rPr>
      </w:pPr>
      <w:r>
        <w:rPr>
          <w:sz w:val="22"/>
        </w:rPr>
        <w:t>w dziale „Rodzina” w rozdziale „System opieki nad dziećmi w wieku do lat 3” w ramach paragrafu „Dotacja celowa w ramach programów finansowanych z udziałem środków europejskich oraz środków, o których mowa w art. 5 ust. 3 pkt 5 lit. a i b ustawy, lub płatności w ramach budżetu środków europejskich, realizowanych przez jednostki samorządu terytorialnego” zmniejsza się dochody o 40,00 zł do kwoty 133 760,00 zł;</w:t>
      </w:r>
    </w:p>
    <w:p>
      <w:pPr>
        <w:pStyle w:val="P2"/>
        <w:numPr>
          <w:ilvl w:val="0"/>
          <w:numId w:val="8"/>
        </w:numPr>
        <w:rPr>
          <w:sz w:val="22"/>
        </w:rPr>
      </w:pPr>
      <w:r>
        <w:rPr>
          <w:sz w:val="22"/>
        </w:rPr>
        <w:t>w dziale „Gospodarka komunalna i ochrona środowiska” w rozdziale „Pozostała działalność” w ramach paragrafu „Wpływy z tytułu grzywien, mandatów i innych kar pieniężnych od osób fizycznych” zmniejsza się dochody o 29 220,00 zł do kwoty 0,00 zł</w:t>
      </w:r>
      <w:r>
        <w:rPr>
          <w:sz w:val="22"/>
          <w:lang w:val="pl-PL" w:bidi="pl-PL" w:eastAsia="pl-PL"/>
        </w:rPr>
        <w:t xml:space="preserve"> - </w:t>
      </w:r>
      <w:r>
        <w:rPr>
          <w:b w:val="1"/>
          <w:sz w:val="22"/>
          <w:shd w:val="clear" w:color="auto" w:fill="FFFFFF"/>
          <w:lang w:val="pl-PL" w:bidi="pl-PL" w:eastAsia="pl-PL"/>
        </w:rPr>
        <w:t>zmiana klasyfikacji dochodu</w:t>
      </w:r>
      <w:r>
        <w:rPr>
          <w:sz w:val="22"/>
        </w:rPr>
        <w:t>;</w:t>
      </w:r>
    </w:p>
    <w:p>
      <w:pPr>
        <w:pStyle w:val="P2"/>
        <w:numPr>
          <w:ilvl w:val="0"/>
          <w:numId w:val="8"/>
        </w:numPr>
        <w:rPr>
          <w:sz w:val="22"/>
        </w:rPr>
      </w:pPr>
      <w:r>
        <w:rPr>
          <w:sz w:val="22"/>
        </w:rPr>
        <w:t>w dziale „Gospodarka komunalna i ochrona środowiska” w rozdziale „Pozostała działalność” w ramach paragrafu „Wpływy z pozostałych odsetek” zmniejsza się dochody o 120,00 zł do kwoty 0,00 zł</w:t>
      </w:r>
      <w:r>
        <w:rPr>
          <w:sz w:val="22"/>
          <w:lang w:val="pl-PL" w:bidi="pl-PL" w:eastAsia="pl-PL"/>
        </w:rPr>
        <w:t xml:space="preserve"> - </w:t>
      </w:r>
      <w:r>
        <w:rPr>
          <w:b w:val="1"/>
          <w:sz w:val="22"/>
          <w:shd w:val="clear" w:color="auto" w:fill="FFFFFF"/>
          <w:lang w:val="pl-PL" w:bidi="pl-PL" w:eastAsia="pl-PL"/>
        </w:rPr>
        <w:t>zmiana klasyfikacji dochodu</w:t>
      </w:r>
      <w:r>
        <w:rPr>
          <w:sz w:val="22"/>
        </w:rPr>
        <w:t>;</w:t>
      </w:r>
    </w:p>
    <w:p>
      <w:pPr>
        <w:pStyle w:val="P1"/>
        <w:rPr>
          <w:sz w:val="22"/>
        </w:rPr>
      </w:pPr>
      <w:r>
        <w:rPr>
          <w:sz w:val="22"/>
        </w:rPr>
        <w:t>Dokonuje się następujących zmniejszeń po stronie dochodów majątkowych:</w:t>
      </w:r>
    </w:p>
    <w:p>
      <w:pPr>
        <w:pStyle w:val="P2"/>
        <w:numPr>
          <w:ilvl w:val="0"/>
          <w:numId w:val="9"/>
        </w:numPr>
        <w:rPr>
          <w:sz w:val="22"/>
        </w:rPr>
      </w:pPr>
      <w:r>
        <w:rPr>
          <w:sz w:val="22"/>
        </w:rPr>
        <w:t>w dziale „Kultura fizyczna” w rozdziale „Obiekty sportowe” w ramach paragrafu „Środki na dofinansowanie własnych inwestycji gmin, powiatów (związków gmin, związków powiatowo-gminnych, związków powiatów), samorządów województw, pozyskane z innych źródeł” zmniejsza się dochody o 2 535,00 zł do kwoty 68 333,00 zł</w:t>
      </w:r>
      <w:r>
        <w:rPr>
          <w:sz w:val="22"/>
          <w:lang w:val="pl-PL" w:bidi="pl-PL" w:eastAsia="pl-PL"/>
        </w:rPr>
        <w:t xml:space="preserve"> - </w:t>
      </w:r>
      <w:r>
        <w:rPr>
          <w:b w:val="1"/>
          <w:sz w:val="22"/>
          <w:lang w:val="pl-PL" w:bidi="pl-PL" w:eastAsia="pl-PL"/>
        </w:rPr>
        <w:t>dostosowawnie planu do aktualnej kwoty dofinansowania</w:t>
      </w:r>
      <w:r>
        <w:rPr>
          <w:sz w:val="22"/>
        </w:rPr>
        <w:t>;</w:t>
      </w:r>
    </w:p>
    <w:p>
      <w:pPr>
        <w:rPr>
          <w:sz w:val="22"/>
        </w:rPr>
      </w:pPr>
      <w:r>
        <w:rPr>
          <w:sz w:val="22"/>
        </w:rPr>
        <w:t>Podsumowanie zmian dochodów Miasta i Gminy Górzno przedstawia tabela poniżej.</w:t>
      </w:r>
    </w:p>
    <w:tbl>
      <w:tblPr>
        <w:tblStyle w:val="T2"/>
        <w:tblW w:w="5000" w:type="pct"/>
        <w:tblInd w:w="5" w:type="dxa"/>
        <w:tblLayout w:type="autofit"/>
        <w:tblLook w:val="04A0"/>
      </w:tblPr>
      <w:tblGrid/>
      <w:tr>
        <w:trPr>
          <w:tblHeader/>
        </w:trPr>
        <w:tc>
          <w:tcPr>
            <w:tcW w:w="2750" w:type="pct"/>
            <w:tcBorders>
              <w:top w:val="single" w:sz="4" w:space="0" w:shadow="0" w:frame="0" w:color="FFFFFF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Wyszczególnienie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Przed zmianą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Zmiana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3C3F49"/>
          </w:tcPr>
          <w:p>
            <w:pPr>
              <w:pStyle w:val="P3"/>
            </w:pPr>
            <w:r>
              <w:t>Po zmianie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4"/>
            </w:pPr>
            <w:r>
              <w:t>dochody ogółem: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34 171 480,61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97 030,85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34 268 511,46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4"/>
            </w:pPr>
            <w:r>
              <w:t>dochody bieżące, w tym: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23 597 432,33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99 565,85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23 696 998,18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6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5 951 306,00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29 340,00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5 980 646,00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6"/>
            </w:pPr>
            <w:r>
              <w:t>Pozostałe zadania w zakresie polityki społecznej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0,00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99 605,85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99 605,85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6"/>
            </w:pPr>
            <w:r>
              <w:t>Rodzina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2 416 300,00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-40,00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2 416 260,00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6"/>
            </w:pPr>
            <w:r>
              <w:t>Gospodarka komunalna i ochrona środowiska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1 310 140,00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-29 340,00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1 280 800,00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4"/>
            </w:pPr>
            <w:r>
              <w:t>dochody majątkowe, w tym: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10 574 048,28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-2 535,00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10 571 513,28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6"/>
            </w:pPr>
            <w:r>
              <w:t>Kultura fizyczna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70 868,00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-2 535,00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68 333,00</w:t>
            </w:r>
          </w:p>
        </w:tc>
      </w:tr>
    </w:tbl>
    <w:p/>
    <w:p>
      <w:pPr>
        <w:pStyle w:val="P1"/>
        <w:rPr>
          <w:sz w:val="22"/>
        </w:rPr>
      </w:pPr>
      <w:r>
        <w:rPr>
          <w:sz w:val="22"/>
        </w:rPr>
        <w:t>WYDATKI</w:t>
      </w:r>
    </w:p>
    <w:p>
      <w:pPr>
        <w:rPr>
          <w:sz w:val="22"/>
        </w:rPr>
      </w:pPr>
      <w:r>
        <w:rPr>
          <w:sz w:val="22"/>
        </w:rPr>
        <w:t>Wydatki budżetu Miasta i Gminy Górzno na rok 2024 zostają zwiększone o kwotę 97 030,85 zł do kwoty 38 193 328,49 zł, w tym:</w:t>
      </w:r>
    </w:p>
    <w:p>
      <w:pPr>
        <w:pStyle w:val="P2"/>
        <w:numPr>
          <w:ilvl w:val="0"/>
          <w:numId w:val="10"/>
        </w:numPr>
        <w:rPr>
          <w:sz w:val="22"/>
        </w:rPr>
      </w:pPr>
      <w:r>
        <w:rPr>
          <w:sz w:val="22"/>
        </w:rPr>
        <w:t>wydatki bieżące ulegają zwiększeniu o kwotę 97 030,85 zł do kwoty 25 260 492,72 zł,</w:t>
      </w:r>
    </w:p>
    <w:p>
      <w:pPr>
        <w:pStyle w:val="P2"/>
        <w:numPr>
          <w:ilvl w:val="0"/>
          <w:numId w:val="10"/>
        </w:numPr>
        <w:rPr>
          <w:sz w:val="22"/>
        </w:rPr>
      </w:pPr>
      <w:r>
        <w:rPr>
          <w:sz w:val="22"/>
        </w:rPr>
        <w:t>wydatki majątkowe nie uległy zmianie.</w:t>
      </w:r>
    </w:p>
    <w:p>
      <w:pPr>
        <w:pStyle w:val="P1"/>
        <w:rPr>
          <w:sz w:val="22"/>
        </w:rPr>
      </w:pPr>
      <w:r>
        <w:rPr>
          <w:sz w:val="22"/>
        </w:rPr>
        <w:t>Dokonuje się następujących zwiększeń po stronie wydatków bieżących:</w:t>
      </w:r>
    </w:p>
    <w:p>
      <w:pPr>
        <w:pStyle w:val="P1"/>
        <w:rPr>
          <w:sz w:val="22"/>
        </w:rPr>
      </w:pPr>
    </w:p>
    <w:p>
      <w:pPr>
        <w:pStyle w:val="P1"/>
        <w:ind w:left="709"/>
        <w:rPr>
          <w:sz w:val="22"/>
        </w:rPr>
      </w:pPr>
      <w:r>
        <w:rPr>
          <w:sz w:val="22"/>
          <w:lang w:val="pl-PL" w:bidi="pl-PL" w:eastAsia="pl-PL"/>
        </w:rPr>
        <w:t>W związku z pismem Wojewody Kujawsko-Pomorskiego nr WFB.V.1612.138.2024 r. z dnia 27 marca 2024 r. zwiększa się plan następujących wydatków:</w:t>
      </w:r>
    </w:p>
    <w:p>
      <w:pPr>
        <w:pStyle w:val="P2"/>
        <w:numPr>
          <w:ilvl w:val="0"/>
          <w:numId w:val="11"/>
        </w:numPr>
        <w:rPr>
          <w:sz w:val="22"/>
        </w:rPr>
      </w:pPr>
      <w:r>
        <w:rPr>
          <w:sz w:val="22"/>
        </w:rPr>
        <w:t>w dziale „Wytwarzanie i zaopatrywanie w energię elektryczną, gaz i wodę” w rozdziale „Dostarczanie ciepła” w ramach paragrafu „Wynagrodzenia osobowe pracowników” zwiększa się wydatki o 1 613,43 zł do kwoty 2 338,14 zł;</w:t>
      </w:r>
    </w:p>
    <w:p>
      <w:pPr>
        <w:pStyle w:val="P2"/>
        <w:numPr>
          <w:ilvl w:val="0"/>
          <w:numId w:val="11"/>
        </w:numPr>
        <w:rPr>
          <w:sz w:val="22"/>
        </w:rPr>
      </w:pPr>
      <w:r>
        <w:rPr>
          <w:sz w:val="22"/>
        </w:rPr>
        <w:t>w dziale „Wytwarzanie i zaopatrywanie w energię elektryczną, gaz i wodę” w rozdziale „Dostarczanie ciepła” w ramach paragrafu „Składki na ubezpieczenia społeczne” zwiększa się wydatki o 275,90 zł do kwoty 399,83 zł;</w:t>
      </w:r>
    </w:p>
    <w:p>
      <w:pPr>
        <w:pStyle w:val="P2"/>
        <w:numPr>
          <w:ilvl w:val="0"/>
          <w:numId w:val="11"/>
        </w:numPr>
        <w:rPr>
          <w:sz w:val="22"/>
        </w:rPr>
      </w:pPr>
      <w:r>
        <w:rPr>
          <w:sz w:val="22"/>
        </w:rPr>
        <w:t>w dziale „Wytwarzanie i zaopatrywanie w energię elektryczną, gaz i wodę” w rozdziale „Dostarczanie ciepła” w ramach paragrafu „Składki na Fundusz Pracy oraz Fundusz Solidarnościowy” wprowadza się wydatki w kwocie 39,53 zł;</w:t>
      </w:r>
    </w:p>
    <w:p>
      <w:pPr>
        <w:pStyle w:val="P2"/>
        <w:numPr>
          <w:ilvl w:val="0"/>
          <w:numId w:val="11"/>
        </w:numPr>
        <w:rPr>
          <w:sz w:val="22"/>
        </w:rPr>
      </w:pPr>
      <w:r>
        <w:rPr>
          <w:sz w:val="22"/>
        </w:rPr>
        <w:t>w dziale „Wytwarzanie i zaopatrywanie w energię elektryczną, gaz i wodę” w rozdziale „Dostarczanie ciepła” w ramach paragrafu „Różne opłaty i składki” zwiększa się wydatki o 97 652,79 zł do kwoty 140 084,86 zł;</w:t>
      </w:r>
    </w:p>
    <w:p>
      <w:pPr>
        <w:pStyle w:val="P2"/>
        <w:numPr>
          <w:ilvl w:val="0"/>
          <w:numId w:val="11"/>
        </w:numPr>
        <w:rPr>
          <w:sz w:val="22"/>
        </w:rPr>
      </w:pPr>
      <w:r>
        <w:rPr>
          <w:sz w:val="22"/>
        </w:rPr>
        <w:t>w dziale „Wytwarzanie i zaopatrywanie w energię elektryczną, gaz i wodę” w rozdziale „Dostarczanie ciepła” w ramach paragrafu „Wpłaty na PPK finansowane przez podmiot zatrudniający” wprowadza się wydatki w kwocie 24,20 zł;</w:t>
      </w:r>
    </w:p>
    <w:p>
      <w:pPr>
        <w:pStyle w:val="P2"/>
        <w:rPr>
          <w:sz w:val="22"/>
        </w:rPr>
      </w:pPr>
      <w:r>
        <w:rPr>
          <w:sz w:val="22"/>
        </w:rPr>
        <w:tab/>
      </w:r>
    </w:p>
    <w:p>
      <w:pPr>
        <w:pStyle w:val="P2"/>
        <w:ind w:firstLine="709"/>
        <w:rPr>
          <w:b w:val="1"/>
          <w:sz w:val="22"/>
        </w:rPr>
      </w:pPr>
      <w:r>
        <w:rPr>
          <w:b w:val="1"/>
          <w:sz w:val="22"/>
          <w:lang w:val="pl-PL" w:bidi="pl-PL" w:eastAsia="pl-PL"/>
        </w:rPr>
        <w:t>Ponadto w celu prawidłowej klasyfikacji wydatków:</w:t>
      </w:r>
    </w:p>
    <w:p>
      <w:pPr>
        <w:pStyle w:val="P2"/>
        <w:numPr>
          <w:ilvl w:val="0"/>
          <w:numId w:val="11"/>
        </w:numPr>
        <w:rPr>
          <w:sz w:val="22"/>
        </w:rPr>
      </w:pPr>
      <w:r>
        <w:rPr>
          <w:sz w:val="22"/>
        </w:rPr>
        <w:t>w dziale „Transport i łączność” w rozdziale „Pozostała działalność” w ramach paragrafu „Zakup usług remontowych” zwiększa się wydatki o 3 500,00 zł do kwoty 3 600,00 zł;</w:t>
      </w:r>
    </w:p>
    <w:p>
      <w:pPr>
        <w:pStyle w:val="P1"/>
        <w:rPr>
          <w:sz w:val="22"/>
        </w:rPr>
      </w:pPr>
      <w:r>
        <w:rPr>
          <w:sz w:val="22"/>
        </w:rPr>
        <w:t>Dokonuje się następujących zmniejszeń po stronie wydatków bieżących:</w:t>
      </w:r>
    </w:p>
    <w:p>
      <w:pPr>
        <w:pStyle w:val="P1"/>
        <w:ind w:firstLine="284"/>
        <w:rPr>
          <w:b w:val="1"/>
          <w:sz w:val="22"/>
          <w:shd w:val="clear" w:color="auto" w:fill="FFFFFF"/>
          <w:lang w:val="pl-PL" w:bidi="pl-PL" w:eastAsia="pl-PL"/>
        </w:rPr>
      </w:pPr>
    </w:p>
    <w:p>
      <w:pPr>
        <w:pStyle w:val="P1"/>
        <w:ind w:firstLine="709"/>
        <w:rPr>
          <w:sz w:val="22"/>
        </w:rPr>
      </w:pPr>
      <w:r>
        <w:rPr>
          <w:b w:val="1"/>
          <w:sz w:val="22"/>
          <w:shd w:val="clear" w:color="auto" w:fill="FFFFFF"/>
          <w:lang w:val="pl-PL" w:bidi="pl-PL" w:eastAsia="pl-PL"/>
        </w:rPr>
        <w:t>W celu prawidłowej klasyfikacji wydatków:</w:t>
      </w:r>
    </w:p>
    <w:p>
      <w:pPr>
        <w:pStyle w:val="P2"/>
        <w:numPr>
          <w:ilvl w:val="0"/>
          <w:numId w:val="12"/>
        </w:numPr>
        <w:rPr>
          <w:sz w:val="22"/>
        </w:rPr>
      </w:pPr>
      <w:r>
        <w:rPr>
          <w:sz w:val="22"/>
        </w:rPr>
        <w:t>w dziale „Transport i łączność” w rozdziale „Pozostała działalność” w ramach paragrafu „Zakup usług pozostałych” zmniejsza się wydatki o 3 500,00 zł do kwoty 118 624,72 zł;</w:t>
      </w:r>
    </w:p>
    <w:p>
      <w:pPr>
        <w:pStyle w:val="P2"/>
        <w:numPr>
          <w:ilvl w:val="0"/>
          <w:numId w:val="12"/>
        </w:numPr>
        <w:rPr>
          <w:sz w:val="22"/>
        </w:rPr>
      </w:pPr>
      <w:r>
        <w:rPr>
          <w:sz w:val="22"/>
        </w:rPr>
        <w:t>w dziale „Gospodarka mieszkaniowa” w rozdziale „Gospodarka gruntami i</w:t>
      </w:r>
      <w:r>
        <w:rPr>
          <w:sz w:val="22"/>
          <w:lang w:val="pl-PL" w:bidi="pl-PL" w:eastAsia="pl-PL"/>
        </w:rPr>
        <w:t xml:space="preserve"> </w:t>
      </w:r>
      <w:r>
        <w:rPr>
          <w:sz w:val="22"/>
        </w:rPr>
        <w:t>nieruchomościami” w ramach paragrafu „Kary, odszkodowania i grzywny wypłacane na rzecz osób prawnych i innych jednostek organizacyjnych” zmniejsza się wydatki o 2 535,00 zł do kwoty 161 765,00 zł;</w:t>
      </w:r>
    </w:p>
    <w:p>
      <w:pPr>
        <w:pStyle w:val="P2"/>
        <w:numPr>
          <w:ilvl w:val="0"/>
          <w:numId w:val="12"/>
        </w:numPr>
        <w:rPr>
          <w:sz w:val="22"/>
        </w:rPr>
      </w:pPr>
      <w:r>
        <w:rPr>
          <w:sz w:val="22"/>
        </w:rPr>
        <w:t>w dziale „Rodzina” w rozdziale „System opieki nad dziećmi w wieku do lat 3” w ramach paragrafu „Wynagrodzenia osobowe pracowników” zmniejsza się wydatki o 40,00 zł do kwoty 111 879,70 zł;</w:t>
      </w:r>
    </w:p>
    <w:p>
      <w:pPr>
        <w:rPr>
          <w:sz w:val="22"/>
        </w:rPr>
      </w:pPr>
      <w:r>
        <w:rPr>
          <w:sz w:val="22"/>
        </w:rPr>
        <w:t>Podsumowanie zmian wydatków Miasta i Gminy Górzno przedstawia tabela poniżej.</w:t>
      </w:r>
    </w:p>
    <w:tbl>
      <w:tblPr>
        <w:tblStyle w:val="T2"/>
        <w:tblW w:w="5000" w:type="pct"/>
        <w:tblInd w:w="5" w:type="dxa"/>
        <w:tblLayout w:type="autofit"/>
        <w:tblLook w:val="04A0"/>
      </w:tblPr>
      <w:tblGrid/>
      <w:tr>
        <w:trPr>
          <w:tblHeader/>
        </w:trPr>
        <w:tc>
          <w:tcPr>
            <w:tcW w:w="2750" w:type="pct"/>
            <w:tcBorders>
              <w:top w:val="single" w:sz="4" w:space="0" w:shadow="0" w:frame="0" w:color="FFFFFF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Wyszczególnienie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Przed zmianą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3C3F49"/>
          </w:tcPr>
          <w:p>
            <w:pPr>
              <w:pStyle w:val="P3"/>
            </w:pPr>
            <w:r>
              <w:t>Zmiana</w:t>
            </w:r>
          </w:p>
        </w:tc>
        <w:tc>
          <w:tcPr>
            <w:tcW w:w="750" w:type="pct"/>
            <w:tcBorders>
              <w:top w:val="single" w:sz="4" w:space="0" w:shadow="0" w:frame="0" w:color="FFFFFF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3C3F49"/>
          </w:tcPr>
          <w:p>
            <w:pPr>
              <w:pStyle w:val="P3"/>
            </w:pPr>
            <w:r>
              <w:t>Po zmianie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4"/>
            </w:pPr>
            <w:r>
              <w:t>wydatki ogółem: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38 096 297,64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97 030,85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38 193 328,49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4"/>
            </w:pPr>
            <w:r>
              <w:t>wydatki bieżące, w tym: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25 163 461,87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97 030,85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25 260 492,72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6"/>
            </w:pPr>
            <w:r>
              <w:t>Wytwarzanie i zaopatrywanie w energię elektryczną, gaz i wodę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43 280,71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99 605,85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142 886,56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6"/>
            </w:pPr>
            <w:r>
              <w:t>Gospodarka mieszkaniowa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170 400,00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-2 535,00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DADBDC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167 865,00</w:t>
            </w:r>
          </w:p>
        </w:tc>
      </w:tr>
      <w:tr>
        <w:tc>
          <w:tcPr>
            <w:tcW w:w="2750" w:type="pct"/>
            <w:tcBorders>
              <w:top w:val="single" w:sz="4" w:space="0" w:shadow="0" w:frame="0" w:color="DADBDC"/>
              <w:left w:val="single" w:sz="4" w:space="0" w:shadow="0" w:frame="0" w:color="FFFFFF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6"/>
            </w:pPr>
            <w:r>
              <w:t>Rodzina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2 473 513,21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DADBDC"/>
            </w:tcBorders>
            <w:shd w:val="clear" w:color="auto" w:fill="FFFFFF"/>
          </w:tcPr>
          <w:p>
            <w:pPr>
              <w:pStyle w:val="P5"/>
            </w:pPr>
            <w:r>
              <w:t>-40,00</w:t>
            </w:r>
          </w:p>
        </w:tc>
        <w:tc>
          <w:tcPr>
            <w:tcW w:w="750" w:type="pct"/>
            <w:tcBorders>
              <w:top w:val="single" w:sz="4" w:space="0" w:shadow="0" w:frame="0" w:color="DADBDC"/>
              <w:left w:val="single" w:sz="4" w:space="0" w:shadow="0" w:frame="0" w:color="DADBDC"/>
              <w:bottom w:val="single" w:sz="4" w:space="0" w:shadow="0" w:frame="0" w:color="FFFFFF"/>
              <w:right w:val="single" w:sz="4" w:space="0" w:shadow="0" w:frame="0" w:color="FFFFFF"/>
            </w:tcBorders>
            <w:shd w:val="clear" w:color="auto" w:fill="FFFFFF"/>
          </w:tcPr>
          <w:p>
            <w:pPr>
              <w:pStyle w:val="P5"/>
            </w:pPr>
            <w:r>
              <w:t>2 473 473,21</w:t>
            </w:r>
          </w:p>
        </w:tc>
      </w:tr>
    </w:tbl>
    <w:p>
      <w:pPr>
        <w:pStyle w:val="P1"/>
        <w:rPr>
          <w:sz w:val="24"/>
        </w:rPr>
      </w:pPr>
    </w:p>
    <w:p>
      <w:pPr>
        <w:pStyle w:val="P1"/>
        <w:rPr>
          <w:sz w:val="22"/>
        </w:rPr>
      </w:pPr>
      <w:r>
        <w:rPr>
          <w:sz w:val="22"/>
        </w:rPr>
        <w:t>PRZYCHODY</w:t>
      </w:r>
    </w:p>
    <w:p>
      <w:pPr>
        <w:pStyle w:val="P7"/>
        <w:rPr>
          <w:sz w:val="22"/>
        </w:rPr>
      </w:pPr>
      <w:r>
        <w:rPr>
          <w:sz w:val="22"/>
        </w:rPr>
        <w:t>Przychody budżetu Miasta i Gminy Górzno na rok 2024 nie uległy zmianie.</w:t>
      </w:r>
    </w:p>
    <w:p>
      <w:pPr>
        <w:pStyle w:val="P1"/>
        <w:rPr>
          <w:sz w:val="22"/>
        </w:rPr>
      </w:pPr>
      <w:r>
        <w:rPr>
          <w:sz w:val="22"/>
        </w:rPr>
        <w:t>ROZCHODY</w:t>
      </w:r>
    </w:p>
    <w:p>
      <w:pPr>
        <w:pStyle w:val="P7"/>
        <w:rPr>
          <w:sz w:val="22"/>
        </w:rPr>
      </w:pPr>
      <w:r>
        <w:rPr>
          <w:sz w:val="22"/>
        </w:rPr>
        <w:t>Rozchody budżetu Miasta i Gminy Górzno na rok 2024 nie uległy zmianie.</w:t>
      </w:r>
    </w:p>
    <w:p/>
    <w:p>
      <w:pPr>
        <w:spacing w:lineRule="auto" w:line="360" w:beforeAutospacing="0" w:afterAutospacing="0"/>
        <w:jc w:val="left"/>
      </w:pPr>
    </w:p>
    <w:sectPr>
      <w:type w:val="nextPage"/>
      <w:pgSz w:w="11907" w:h="16839" w:code="9"/>
      <w:pgMar w:left="1440" w:right="862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3E2377E3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">
    <w:nsid w:val="4A567049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">
    <w:nsid w:val="4AB16627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">
    <w:nsid w:val="4AB481A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">
    <w:nsid w:val="73467FDD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5">
    <w:nsid w:val="2049B33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6">
    <w:nsid w:val="4ECB260B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7">
    <w:nsid w:val="35BF2FF2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8">
    <w:nsid w:val="4458851F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9">
    <w:nsid w:val="30EA4548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0">
    <w:nsid w:val="6FB1FBD7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1">
    <w:nsid w:val="11B2C8DE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paragraph" w:styleId="P1">
    <w:name w:val="Heading1"/>
    <w:basedOn w:val="P0"/>
    <w:next w:val="P1"/>
    <w:pPr>
      <w:keepNext w:val="1"/>
      <w:spacing w:after="160" w:beforeAutospacing="0" w:afterAutospacing="0"/>
      <w:contextualSpacing w:val="1"/>
      <w:jc w:val="both"/>
    </w:pPr>
    <w:rPr>
      <w:b w:val="1"/>
      <w:color w:val="auto"/>
      <w:sz w:val="28"/>
      <w:shd w:val="clear" w:color="auto" w:fill="auto"/>
    </w:rPr>
  </w:style>
  <w:style w:type="paragraph" w:styleId="P2">
    <w:name w:val="ListParagraph"/>
    <w:basedOn w:val="P0"/>
    <w:next w:val="P2"/>
    <w:pPr>
      <w:spacing w:lineRule="auto" w:line="276" w:after="160" w:beforeAutospacing="0" w:afterAutospacing="0"/>
      <w:contextualSpacing w:val="1"/>
    </w:pPr>
    <w:rPr>
      <w:color w:val="auto"/>
      <w:shd w:val="clear" w:color="auto" w:fill="auto"/>
    </w:rPr>
  </w:style>
  <w:style w:type="paragraph" w:styleId="P3">
    <w:name w:val="Default_HeadingCell"/>
    <w:basedOn w:val="P0"/>
    <w:next w:val="P3"/>
    <w:pPr>
      <w:spacing w:lineRule="auto" w:line="276" w:before="113" w:after="113" w:beforeAutospacing="0" w:afterAutospacing="0"/>
      <w:ind w:left="113" w:right="113"/>
      <w:jc w:val="center"/>
    </w:pPr>
    <w:rPr>
      <w:b w:val="1"/>
      <w:color w:val="FFFFFF"/>
      <w:sz w:val="15"/>
      <w:shd w:val="clear" w:color="auto" w:fill="auto"/>
    </w:rPr>
  </w:style>
  <w:style w:type="paragraph" w:styleId="P4">
    <w:name w:val="Default_ExplanationChanges_TitleRowCell"/>
    <w:basedOn w:val="P0"/>
    <w:next w:val="P4"/>
    <w:pPr>
      <w:spacing w:lineRule="auto" w:line="276" w:before="17" w:after="17" w:beforeAutospacing="0" w:afterAutospacing="0"/>
      <w:ind w:left="113" w:right="113"/>
    </w:pPr>
    <w:rPr>
      <w:color w:val="auto"/>
      <w:sz w:val="15"/>
      <w:shd w:val="clear" w:color="auto" w:fill="auto"/>
    </w:rPr>
  </w:style>
  <w:style w:type="paragraph" w:styleId="P5">
    <w:name w:val="Default_FooterValueCell"/>
    <w:basedOn w:val="P0"/>
    <w:next w:val="P5"/>
    <w:pPr>
      <w:spacing w:lineRule="auto" w:line="276" w:before="17" w:after="17" w:beforeAutospacing="0" w:afterAutospacing="0"/>
      <w:ind w:left="113" w:right="113"/>
      <w:jc w:val="right"/>
    </w:pPr>
    <w:rPr>
      <w:b w:val="1"/>
      <w:color w:val="auto"/>
      <w:sz w:val="15"/>
      <w:shd w:val="clear" w:color="auto" w:fill="auto"/>
    </w:rPr>
  </w:style>
  <w:style w:type="paragraph" w:styleId="P6">
    <w:name w:val="Default_ExplanationChanges_SectionRowCell"/>
    <w:basedOn w:val="P0"/>
    <w:next w:val="P6"/>
    <w:pPr>
      <w:spacing w:lineRule="auto" w:line="276" w:before="17" w:after="17" w:beforeAutospacing="0" w:afterAutospacing="0"/>
      <w:ind w:left="113" w:right="113"/>
      <w:jc w:val="right"/>
    </w:pPr>
    <w:rPr>
      <w:color w:val="auto"/>
      <w:sz w:val="15"/>
      <w:shd w:val="clear" w:color="auto" w:fill="auto"/>
    </w:rPr>
  </w:style>
  <w:style w:type="paragraph" w:styleId="P7">
    <w:name w:val="ParagraphLeftAlign"/>
    <w:basedOn w:val="P0"/>
    <w:next w:val="P7"/>
    <w:pPr>
      <w:spacing w:lineRule="auto" w:line="276" w:after="160" w:beforeAutospacing="0" w:afterAutospacing="0"/>
    </w:pPr>
    <w:rPr>
      <w:color w:val="auto"/>
      <w:shd w:val="clear" w:color="auto" w:fill="auto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Default_Table_Publink"/>
    <w:rPr>
      <w:color w:val="auto"/>
      <w:sz w:val="22"/>
      <w:shd w:val="clear" w:color="auto" w:fill="auto"/>
      <w:lang w:val="pl-PL" w:bidi="pl-PL" w:eastAsia="pl-PL"/>
    </w:rPr>
    <w:tblPr>
      <w:tblBorders>
        <w:top w:val="single" w:sz="4" w:space="0" w:shadow="0" w:frame="0" w:color="FFFFFF"/>
        <w:left w:val="single" w:sz="4" w:space="0" w:shadow="0" w:frame="0" w:color="FFFFFF"/>
        <w:bottom w:val="single" w:sz="4" w:space="0" w:shadow="0" w:frame="0" w:color="FFFFFF"/>
        <w:right w:val="single" w:sz="4" w:space="0" w:shadow="0" w:frame="0" w:color="FFFFFF"/>
        <w:insideH w:val="single" w:sz="4" w:space="0" w:shadow="0" w:frame="0" w:color="DADBDC"/>
        <w:insideV w:val="single" w:sz="4" w:space="0" w:shadow="0" w:frame="0" w:color="DADBDC"/>
      </w:tblBorders>
      <w:tblCellMar>
        <w:left w:w="0" w:type="dxa"/>
        <w:right w:w="0" w:type="dxa"/>
      </w:tblCellMar>
    </w:tblPr>
    <w:trPr/>
    <w:tcPr>
      <w:vAlign w:val="center"/>
    </w:tc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AndrzejewskaM</dc:creator>
  <dcterms:created xsi:type="dcterms:W3CDTF">2024-04-02T13:15:55Z</dcterms:created>
  <cp:lastModifiedBy>JaroszewskaM</cp:lastModifiedBy>
  <dcterms:modified xsi:type="dcterms:W3CDTF">2024-04-18T12:00:04Z</dcterms:modified>
  <cp:revision>44</cp:revision>
</cp:coreProperties>
</file>