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50C4A8" Type="http://schemas.openxmlformats.org/officeDocument/2006/relationships/officeDocument" Target="/word/document.xml" /><Relationship Id="coreR5650C4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uzasadnienie</w:t>
      </w:r>
    </w:p>
    <w:p>
      <w:pPr>
        <w:pStyle w:val="P1"/>
      </w:pPr>
    </w:p>
    <w:p>
      <w:pPr>
        <w:pStyle w:val="P1"/>
      </w:pPr>
      <w:r>
        <w:t>DOCHODY</w:t>
      </w:r>
    </w:p>
    <w:p>
      <w:r>
        <w:t>Dochody budżetu Miasta i Gminy Górzno na rok 2024 nie uległy zmianie.</w:t>
      </w:r>
    </w:p>
    <w:p>
      <w:pPr>
        <w:pStyle w:val="P1"/>
      </w:pPr>
    </w:p>
    <w:p>
      <w:pPr>
        <w:pStyle w:val="P1"/>
      </w:pPr>
      <w:r>
        <w:t>WYDATKI</w:t>
      </w:r>
    </w:p>
    <w:p>
      <w:r>
        <w:t>Wydatki budżetu Miasta i Gminy Górzno na rok 2024 nie uległy zmianie.</w:t>
      </w:r>
    </w:p>
    <w:p/>
    <w:p>
      <w:r>
        <w:rPr>
          <w:lang w:val="pl-PL" w:bidi="pl-PL" w:eastAsia="pl-PL"/>
        </w:rPr>
        <w:t>W celu prawidłowej klasyfikacji wydatków związanych z oragnizacją obchodów 100-lecia działalności OSP w Miesiączkowie dokonuje się następujących zmian:</w:t>
      </w:r>
    </w:p>
    <w:p>
      <w:pPr>
        <w:pStyle w:val="P1"/>
      </w:pP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numPr>
          <w:ilvl w:val="0"/>
          <w:numId w:val="32"/>
        </w:numPr>
      </w:pPr>
      <w:r>
        <w:t>w dziale „Bezpieczeństwo publiczne i ochrona przeciwpożarowa” w rozdziale „Pozostała działalność” w ramach paragrafu „Zakup materiałów i wyposażenia” zwiększa się wydatki o 5 000,00 zł do kwoty 9 000,00 zł;</w:t>
      </w:r>
    </w:p>
    <w:p>
      <w:pPr>
        <w:pStyle w:val="P2"/>
        <w:numPr>
          <w:ilvl w:val="0"/>
          <w:numId w:val="32"/>
        </w:numPr>
      </w:pPr>
      <w:r>
        <w:t>w dziale „Bezpieczeństwo publiczne i ochrona przeciwpożarowa” w rozdziale „Pozostała działalność” w ramach paragrafu „Zakup usług pozostałych” wprowadza się wydatki w kwocie 18 350,00 zł;</w:t>
      </w:r>
    </w:p>
    <w:p>
      <w:pPr>
        <w:pStyle w:val="P1"/>
      </w:pPr>
      <w:r>
        <w:t>Dokonuje się następujących zmniejszeń po stronie wydatków bieżących:</w:t>
      </w:r>
    </w:p>
    <w:p>
      <w:pPr>
        <w:pStyle w:val="P2"/>
        <w:numPr>
          <w:ilvl w:val="0"/>
          <w:numId w:val="33"/>
        </w:numPr>
      </w:pPr>
      <w:r>
        <w:t>w dziale „Bezpieczeństwo publiczne i ochrona przeciwpożarowa” w rozdziale „Ochotnicze straże pożarne” w ramach paragrafu „Zakup materiałów i wyposażenia” zmniejsza się wydatki o 5 000,00 zł do kwoty 39 400,00 zł;</w:t>
      </w:r>
    </w:p>
    <w:p>
      <w:pPr>
        <w:pStyle w:val="P2"/>
        <w:numPr>
          <w:ilvl w:val="0"/>
          <w:numId w:val="33"/>
        </w:numPr>
      </w:pPr>
      <w:r>
        <w:t>w dziale „Bezpieczeństwo publiczne i ochrona przeciwpożarowa” w rozdziale „Ochotnicze straże pożarne” w ramach paragrafu „Zakup usług pozostałych” zmniejsza się wydatki o 10 000,00 zł do kwoty 12 350,00 zł;</w:t>
      </w:r>
    </w:p>
    <w:p>
      <w:pPr>
        <w:pStyle w:val="P2"/>
        <w:numPr>
          <w:ilvl w:val="0"/>
          <w:numId w:val="33"/>
        </w:numPr>
      </w:pPr>
      <w:r>
        <w:t>w dziale „Bezpieczeństwo publiczne i ochrona przeciwpożarowa” w rozdziale „Ochotnicze straże pożarne” w ramach paragrafu „Różne opłaty i składki” zmniejsza się wydatki o 8 350,00 zł do kwoty 22 650,00 zł;</w:t>
      </w:r>
    </w:p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/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2024-05-29T11:01:02Z</dcterms:modified>
  <cp:revision>61</cp:revision>
</cp:coreProperties>
</file>