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7D3BFF8" Type="http://schemas.openxmlformats.org/officeDocument/2006/relationships/officeDocument" Target="/word/document.xml" /><Relationship Id="coreR37D3BFF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sz w:val="22"/>
        </w:rPr>
      </w:pPr>
    </w:p>
    <w:p>
      <w:pPr>
        <w:spacing w:lineRule="auto" w:line="360" w:beforeAutospacing="0" w:afterAutospacing="0"/>
        <w:jc w:val="center"/>
        <w:rPr>
          <w:rFonts w:ascii="Times New Roman" w:hAnsi="Times New Roman"/>
          <w:b w:val="1"/>
          <w:caps w:val="1"/>
          <w:sz w:val="22"/>
        </w:rPr>
      </w:pPr>
      <w:r>
        <w:rPr>
          <w:rFonts w:ascii="Times New Roman" w:hAnsi="Times New Roman"/>
          <w:b w:val="1"/>
          <w:caps w:val="1"/>
          <w:sz w:val="22"/>
        </w:rPr>
        <w:t>uzasadnienie</w:t>
      </w:r>
    </w:p>
    <w:p>
      <w:pPr>
        <w:pStyle w:val="P1"/>
        <w:rPr>
          <w:rFonts w:ascii="Times New Roman" w:hAnsi="Times New Roman"/>
          <w:sz w:val="22"/>
        </w:rPr>
      </w:pPr>
    </w:p>
    <w:p>
      <w:pPr>
        <w:pStyle w:val="P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Zgodnie ze zmianami w budżecie na dzień 4 czerwca 2024 r., dokonano następujących zmian w Wieloletniej Prognozie Finansowej </w:t>
      </w:r>
      <w:r>
        <w:rPr>
          <w:rFonts w:ascii="Times New Roman" w:hAnsi="Times New Roman"/>
          <w:sz w:val="22"/>
          <w:lang w:val="pl-PL" w:bidi="pl-PL" w:eastAsia="pl-PL"/>
        </w:rPr>
        <w:t xml:space="preserve">Miasta i </w:t>
      </w:r>
      <w:r>
        <w:rPr>
          <w:rFonts w:ascii="Times New Roman" w:hAnsi="Times New Roman"/>
          <w:sz w:val="22"/>
        </w:rPr>
        <w:t>Gminy Górzno:</w:t>
      </w:r>
    </w:p>
    <w:p>
      <w:pPr>
        <w:pStyle w:val="P9"/>
        <w:numPr>
          <w:ilvl w:val="0"/>
          <w:numId w:val="34"/>
        </w:numPr>
        <w:spacing w:after="160" w:beforeAutospacing="0" w:afterAutospacing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Dochody ogółem zwiększono o 16 533,00 zł, z czego dochody bieżące zwiększono o 16 533,00 zł, a dochody majątkowe nie uległy zmianie.</w:t>
      </w:r>
    </w:p>
    <w:p>
      <w:pPr>
        <w:pStyle w:val="P9"/>
        <w:numPr>
          <w:ilvl w:val="0"/>
          <w:numId w:val="34"/>
        </w:numPr>
        <w:spacing w:after="160" w:beforeAutospacing="0" w:afterAutospacing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Wydatki ogółem zwiększono o 16 533,00 zł, z czego wydatki bieżące zwiększono o 16 533,00 zł, a wydatki majątkowe nie uległy zmianie.</w:t>
      </w:r>
    </w:p>
    <w:p>
      <w:pPr>
        <w:pStyle w:val="P9"/>
        <w:numPr>
          <w:ilvl w:val="0"/>
          <w:numId w:val="34"/>
        </w:numPr>
        <w:spacing w:after="160" w:beforeAutospacing="0" w:afterAutospacing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Wynik budżetu nie uległ zmianie.</w:t>
      </w:r>
    </w:p>
    <w:p>
      <w:pPr>
        <w:pStyle w:val="P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Szczegółowe informacje na temat zmian w zakresie dochodów, wydatków i wyniku budżetu w roku budżetowym przedstawiono w tabeli poniżej.</w:t>
      </w:r>
    </w:p>
    <w:p>
      <w:pPr>
        <w:pStyle w:val="P10"/>
        <w:keepNext w:val="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Tabela 1. Zmiany w dochodach i wydatkach w 2024 roku</w:t>
      </w:r>
    </w:p>
    <w:tbl>
      <w:tblPr>
        <w:tblStyle w:val="T1"/>
        <w:tblW w:w="9072" w:type="dxa"/>
        <w:tblInd w:w="0" w:type="dxa"/>
        <w:tblLayout w:type="fixed"/>
        <w:tblLook w:val="04A0"/>
      </w:tblPr>
      <w:tblGrid/>
      <w:tr>
        <w:trPr>
          <w:tblHeader/>
        </w:trP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Wyszczególnienie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Przed zmianą [zł]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Zmiana [zł]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 zmianie [zł]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Dochody ogółem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35 493 331,89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+16 533,00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35 509 864,89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Dochody bieżące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24 921 818,61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+16 533,00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24 938 351,61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Dotacje bieżące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2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4 463 159,29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2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+16 533,00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2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4 479 692,29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Wydatki ogółem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39 450 948,92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+16 533,00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39 467 481,92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Wydatki bieżące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26 485 313,15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+16 533,00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26 501 846,15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Wynagrodzenia i pochodne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2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9 864 264,68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2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+13 057,03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2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9 877 321,71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Pozostałe wydatki bieżące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2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16 274 048,47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2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+3 475,97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2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16 277 524,44</w:t>
            </w:r>
          </w:p>
        </w:tc>
      </w:tr>
    </w:tbl>
    <w:p>
      <w:pPr>
        <w:pStyle w:val="P8"/>
        <w:rPr>
          <w:rFonts w:ascii="Times New Roman" w:hAnsi="Times New Roman"/>
          <w:sz w:val="22"/>
        </w:rPr>
      </w:pPr>
    </w:p>
    <w:p>
      <w:pPr>
        <w:pStyle w:val="P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W Wieloletniej Prognozie Finansowej </w:t>
      </w:r>
      <w:r>
        <w:rPr>
          <w:rFonts w:ascii="Times New Roman" w:hAnsi="Times New Roman"/>
          <w:sz w:val="22"/>
          <w:lang w:val="pl-PL" w:bidi="pl-PL" w:eastAsia="pl-PL"/>
        </w:rPr>
        <w:t xml:space="preserve">Miasta i </w:t>
      </w:r>
      <w:r>
        <w:rPr>
          <w:rFonts w:ascii="Times New Roman" w:hAnsi="Times New Roman"/>
          <w:sz w:val="22"/>
        </w:rPr>
        <w:t>Gminy Górzno:</w:t>
      </w:r>
    </w:p>
    <w:p>
      <w:pPr>
        <w:pStyle w:val="P9"/>
        <w:numPr>
          <w:ilvl w:val="0"/>
          <w:numId w:val="35"/>
        </w:numPr>
        <w:spacing w:after="160" w:beforeAutospacing="0" w:afterAutospacing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Przychody ogółem w roku budżetowym nie uległy zmianie.</w:t>
      </w:r>
    </w:p>
    <w:p>
      <w:pPr>
        <w:pStyle w:val="P9"/>
        <w:numPr>
          <w:ilvl w:val="0"/>
          <w:numId w:val="35"/>
        </w:numPr>
        <w:spacing w:after="160" w:beforeAutospacing="0" w:afterAutospacing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Rozchody ogółem w roku budżetowym nie uległy zmianie.</w:t>
      </w:r>
    </w:p>
    <w:p>
      <w:pPr>
        <w:pStyle w:val="P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Od 2025 nie dokonywano zmian w zakresie planowanych przychodów.</w:t>
      </w:r>
    </w:p>
    <w:p>
      <w:pPr>
        <w:pStyle w:val="P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Od 2025 nie dokonywano zmian w zakresie planowanych rozchodów.</w:t>
      </w:r>
    </w:p>
    <w:p>
      <w:pPr>
        <w:pStyle w:val="P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>
      <w:pPr>
        <w:pStyle w:val="P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Pełen zakres zmian obrazuje załącznik nr 1 do niniejszego zarządzenia.</w:t>
      </w:r>
    </w:p>
    <w:p>
      <w:pPr>
        <w:spacing w:lineRule="auto" w:line="360" w:beforeAutospacing="0" w:afterAutospacing="0"/>
        <w:jc w:val="left"/>
        <w:rPr>
          <w:rFonts w:ascii="Times New Roman" w:hAnsi="Times New Roman"/>
          <w:sz w:val="22"/>
        </w:rPr>
      </w:pPr>
    </w:p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E2377E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">
    <w:nsid w:val="4A56704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">
    <w:nsid w:val="4AB1662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">
    <w:nsid w:val="4AB481A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">
    <w:nsid w:val="73467FD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">
    <w:nsid w:val="5275F34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">
    <w:nsid w:val="4E7C780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">
    <w:nsid w:val="525AA01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">
    <w:nsid w:val="71FF996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">
    <w:nsid w:val="24B5F8A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">
    <w:nsid w:val="3961BDD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1">
    <w:nsid w:val="5735EA0C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2">
    <w:nsid w:val="310FB89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3">
    <w:nsid w:val="523ACCDB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4">
    <w:nsid w:val="16C0E31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5">
    <w:nsid w:val="1166D55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6">
    <w:nsid w:val="5BDBDCDC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7">
    <w:nsid w:val="62C95A7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8">
    <w:nsid w:val="7BD48D0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9">
    <w:nsid w:val="3B797EF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0">
    <w:nsid w:val="584C197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1">
    <w:nsid w:val="2A9352B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2">
    <w:nsid w:val="1842B44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3">
    <w:nsid w:val="656724F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4">
    <w:nsid w:val="12292F1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5">
    <w:nsid w:val="03BC077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6">
    <w:nsid w:val="3E10005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7">
    <w:nsid w:val="5E1C426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8">
    <w:nsid w:val="69308A2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9">
    <w:nsid w:val="336447C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0">
    <w:nsid w:val="067CB44F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1">
    <w:nsid w:val="48ABCD9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2">
    <w:nsid w:val="66B2B88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3">
    <w:nsid w:val="4F3EDB3C"/>
    <w:multiLevelType w:val="hybridMultilevel"/>
    <w:lvl w:ilvl="0" w:tplc="7FF7CD68">
      <w:start w:val="1"/>
      <w:numFmt w:val="decimal"/>
      <w:suff w:val="tab"/>
      <w:lvlText w:val="%1."/>
      <w:lvlJc w:val="left"/>
      <w:pPr>
        <w:ind w:hanging="425" w:left="709"/>
      </w:pPr>
      <w:rPr/>
    </w:lvl>
    <w:lvl w:ilvl="1" w:tplc="1C2E18FF">
      <w:start w:val="1"/>
      <w:numFmt w:val="decimal"/>
      <w:suff w:val="tab"/>
      <w:lvlText w:val="%1."/>
      <w:lvlJc w:val="left"/>
      <w:pPr>
        <w:ind w:hanging="425" w:left="1417"/>
      </w:pPr>
      <w:rPr/>
    </w:lvl>
    <w:lvl w:ilvl="2" w:tplc="446C2879">
      <w:start w:val="1"/>
      <w:numFmt w:val="decimal"/>
      <w:suff w:val="tab"/>
      <w:lvlText w:val="%1."/>
      <w:lvlJc w:val="left"/>
      <w:pPr>
        <w:ind w:hanging="425" w:left="2126"/>
      </w:pPr>
      <w:rPr/>
    </w:lvl>
    <w:lvl w:ilvl="3" w:tplc="33F56627">
      <w:start w:val="1"/>
      <w:numFmt w:val="decimal"/>
      <w:suff w:val="tab"/>
      <w:lvlText w:val="%1."/>
      <w:lvlJc w:val="left"/>
      <w:pPr/>
      <w:rPr/>
    </w:lvl>
    <w:lvl w:ilvl="4" w:tplc="517777D7">
      <w:start w:val="1"/>
      <w:numFmt w:val="decimal"/>
      <w:suff w:val="tab"/>
      <w:lvlText w:val="%1."/>
      <w:lvlJc w:val="left"/>
      <w:pPr/>
      <w:rPr/>
    </w:lvl>
    <w:lvl w:ilvl="5" w:tplc="567656B9">
      <w:start w:val="1"/>
      <w:numFmt w:val="decimal"/>
      <w:suff w:val="tab"/>
      <w:lvlText w:val="%1."/>
      <w:lvlJc w:val="left"/>
      <w:pPr/>
      <w:rPr/>
    </w:lvl>
    <w:lvl w:ilvl="6" w:tplc="55AAC8F8">
      <w:start w:val="1"/>
      <w:numFmt w:val="decimal"/>
      <w:suff w:val="tab"/>
      <w:lvlText w:val="%1."/>
      <w:lvlJc w:val="left"/>
      <w:pPr/>
      <w:rPr/>
    </w:lvl>
    <w:lvl w:ilvl="7" w:tplc="311F808B">
      <w:start w:val="1"/>
      <w:numFmt w:val="decimal"/>
      <w:suff w:val="tab"/>
      <w:lvlText w:val="%1."/>
      <w:lvlJc w:val="left"/>
      <w:pPr/>
      <w:rPr/>
    </w:lvl>
    <w:lvl w:ilvl="8" w:tplc="050C32DA">
      <w:start w:val="1"/>
      <w:numFmt w:val="decimal"/>
      <w:suff w:val="tab"/>
      <w:lvlText w:val="%1."/>
      <w:lvlJc w:val="left"/>
      <w:pPr/>
      <w:rPr/>
    </w:lvl>
  </w:abstractNum>
  <w:abstractNum w:abstractNumId="34">
    <w:nsid w:val="05BA076E"/>
    <w:multiLevelType w:val="hybridMultilevel"/>
    <w:lvl w:ilvl="0" w:tplc="12D22547">
      <w:start w:val="1"/>
      <w:numFmt w:val="decimal"/>
      <w:suff w:val="tab"/>
      <w:lvlText w:val="%1."/>
      <w:lvlJc w:val="left"/>
      <w:pPr>
        <w:ind w:hanging="425" w:left="709"/>
      </w:pPr>
      <w:rPr/>
    </w:lvl>
    <w:lvl w:ilvl="1" w:tplc="007EE2AC">
      <w:start w:val="1"/>
      <w:numFmt w:val="decimal"/>
      <w:suff w:val="tab"/>
      <w:lvlText w:val="%1."/>
      <w:lvlJc w:val="left"/>
      <w:pPr>
        <w:ind w:hanging="425" w:left="1417"/>
      </w:pPr>
      <w:rPr/>
    </w:lvl>
    <w:lvl w:ilvl="2" w:tplc="1A54C6DE">
      <w:start w:val="1"/>
      <w:numFmt w:val="decimal"/>
      <w:suff w:val="tab"/>
      <w:lvlText w:val="%1."/>
      <w:lvlJc w:val="left"/>
      <w:pPr>
        <w:ind w:hanging="425" w:left="2126"/>
      </w:pPr>
      <w:rPr/>
    </w:lvl>
    <w:lvl w:ilvl="3" w:tplc="49E2A898">
      <w:start w:val="1"/>
      <w:numFmt w:val="decimal"/>
      <w:suff w:val="tab"/>
      <w:lvlText w:val="%1."/>
      <w:lvlJc w:val="left"/>
      <w:pPr/>
      <w:rPr/>
    </w:lvl>
    <w:lvl w:ilvl="4" w:tplc="14285F6B">
      <w:start w:val="1"/>
      <w:numFmt w:val="decimal"/>
      <w:suff w:val="tab"/>
      <w:lvlText w:val="%1."/>
      <w:lvlJc w:val="left"/>
      <w:pPr/>
      <w:rPr/>
    </w:lvl>
    <w:lvl w:ilvl="5" w:tplc="660FA6CC">
      <w:start w:val="1"/>
      <w:numFmt w:val="decimal"/>
      <w:suff w:val="tab"/>
      <w:lvlText w:val="%1."/>
      <w:lvlJc w:val="left"/>
      <w:pPr/>
      <w:rPr/>
    </w:lvl>
    <w:lvl w:ilvl="6" w:tplc="69100F97">
      <w:start w:val="1"/>
      <w:numFmt w:val="decimal"/>
      <w:suff w:val="tab"/>
      <w:lvlText w:val="%1."/>
      <w:lvlJc w:val="left"/>
      <w:pPr/>
      <w:rPr/>
    </w:lvl>
    <w:lvl w:ilvl="7" w:tplc="4E48236A">
      <w:start w:val="1"/>
      <w:numFmt w:val="decimal"/>
      <w:suff w:val="tab"/>
      <w:lvlText w:val="%1."/>
      <w:lvlJc w:val="left"/>
      <w:pPr/>
      <w:rPr/>
    </w:lvl>
    <w:lvl w:ilvl="8" w:tplc="2ED82774">
      <w:start w:val="1"/>
      <w:numFmt w:val="decimal"/>
      <w:suff w:val="tab"/>
      <w:lvlText w:val="%1."/>
      <w:lvlJc w:val="left"/>
      <w:pPr/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Heading1"/>
    <w:basedOn w:val="P0"/>
    <w:next w:val="P1"/>
    <w:pPr>
      <w:keepNext w:val="1"/>
      <w:spacing w:after="160" w:beforeAutospacing="0" w:afterAutospacing="0"/>
      <w:contextualSpacing w:val="1"/>
      <w:jc w:val="both"/>
    </w:pPr>
    <w:rPr>
      <w:b w:val="1"/>
      <w:color w:val="auto"/>
      <w:sz w:val="28"/>
      <w:shd w:val="clear" w:color="auto" w:fill="auto"/>
    </w:rPr>
  </w:style>
  <w:style w:type="paragraph" w:styleId="P2">
    <w:name w:val="ListParagraph"/>
    <w:basedOn w:val="P0"/>
    <w:next w:val="P2"/>
    <w:pPr>
      <w:spacing w:lineRule="auto" w:line="276" w:after="160" w:beforeAutospacing="0" w:afterAutospacing="0"/>
      <w:contextualSpacing w:val="1"/>
    </w:pPr>
    <w:rPr>
      <w:color w:val="auto"/>
      <w:shd w:val="clear" w:color="auto" w:fill="auto"/>
    </w:rPr>
  </w:style>
  <w:style w:type="paragraph" w:styleId="P3">
    <w:name w:val="Default_HeadingCell"/>
    <w:basedOn w:val="P0"/>
    <w:next w:val="P3"/>
    <w:pPr>
      <w:spacing w:lineRule="auto" w:line="276" w:before="113" w:after="113" w:beforeAutospacing="0" w:afterAutospacing="0"/>
      <w:ind w:left="113" w:right="113"/>
      <w:jc w:val="center"/>
    </w:pPr>
    <w:rPr>
      <w:b w:val="1"/>
      <w:color w:val="FFFFFF"/>
      <w:sz w:val="15"/>
      <w:shd w:val="clear" w:color="auto" w:fill="auto"/>
    </w:rPr>
  </w:style>
  <w:style w:type="paragraph" w:styleId="P4">
    <w:name w:val="Default_ExplanationChanges_TitleRowCell"/>
    <w:basedOn w:val="P0"/>
    <w:next w:val="P4"/>
    <w:pPr>
      <w:spacing w:lineRule="auto" w:line="276" w:before="17" w:after="17" w:beforeAutospacing="0" w:afterAutospacing="0"/>
      <w:ind w:left="113" w:right="113"/>
    </w:pPr>
    <w:rPr>
      <w:color w:val="auto"/>
      <w:sz w:val="15"/>
      <w:shd w:val="clear" w:color="auto" w:fill="auto"/>
    </w:rPr>
  </w:style>
  <w:style w:type="paragraph" w:styleId="P5">
    <w:name w:val="Default_FooterValueCell"/>
    <w:basedOn w:val="P0"/>
    <w:next w:val="P5"/>
    <w:pPr>
      <w:spacing w:lineRule="auto" w:line="276" w:before="17" w:after="17" w:beforeAutospacing="0" w:afterAutospacing="0"/>
      <w:ind w:left="113" w:right="113"/>
      <w:jc w:val="right"/>
    </w:pPr>
    <w:rPr>
      <w:b w:val="1"/>
      <w:color w:val="auto"/>
      <w:sz w:val="15"/>
      <w:shd w:val="clear" w:color="auto" w:fill="auto"/>
    </w:rPr>
  </w:style>
  <w:style w:type="paragraph" w:styleId="P6">
    <w:name w:val="Default_ExplanationChanges_SectionRowCell"/>
    <w:basedOn w:val="P0"/>
    <w:next w:val="P6"/>
    <w:pPr>
      <w:spacing w:lineRule="auto" w:line="276" w:before="17" w:after="17" w:beforeAutospacing="0" w:afterAutospacing="0"/>
      <w:ind w:left="113" w:right="113"/>
      <w:jc w:val="right"/>
    </w:pPr>
    <w:rPr>
      <w:color w:val="auto"/>
      <w:sz w:val="15"/>
      <w:shd w:val="clear" w:color="auto" w:fill="auto"/>
    </w:rPr>
  </w:style>
  <w:style w:type="paragraph" w:styleId="P7">
    <w:name w:val="ParagraphLeftAlign"/>
    <w:basedOn w:val="P0"/>
    <w:next w:val="P7"/>
    <w:pPr>
      <w:spacing w:lineRule="auto" w:line="276" w:after="160" w:beforeAutospacing="0" w:afterAutospacing="0"/>
    </w:pPr>
    <w:rPr>
      <w:color w:val="auto"/>
      <w:shd w:val="clear" w:color="auto" w:fill="auto"/>
    </w:rPr>
  </w:style>
  <w:style w:type="paragraph" w:styleId="P8">
    <w:name w:val="Tekst (Publink)"/>
    <w:basedOn w:val="P0"/>
    <w:pPr>
      <w:spacing w:after="160" w:beforeAutospacing="0" w:afterAutospacing="0"/>
      <w:jc w:val="both"/>
    </w:pPr>
    <w:rPr>
      <w:rFonts w:ascii="Calibri" w:hAnsi="Calibri"/>
      <w:color w:val="auto"/>
      <w:sz w:val="20"/>
      <w:shd w:val="clear" w:color="auto" w:fill="auto"/>
    </w:rPr>
  </w:style>
  <w:style w:type="paragraph" w:styleId="P9">
    <w:name w:val="Lista (Publink)"/>
    <w:basedOn w:val="P8"/>
    <w:pPr>
      <w:spacing w:after="0" w:beforeAutospacing="0" w:afterAutospacing="0"/>
      <w:contextualSpacing w:val="1"/>
      <w:jc w:val="left"/>
    </w:pPr>
    <w:rPr/>
  </w:style>
  <w:style w:type="paragraph" w:styleId="P10">
    <w:name w:val="Podpis tabeli (Publink)"/>
    <w:basedOn w:val="P8"/>
    <w:pPr>
      <w:spacing w:before="160" w:after="0" w:beforeAutospacing="0" w:afterAutospacing="0"/>
      <w:jc w:val="left"/>
    </w:pPr>
    <w:rPr>
      <w:b w:val="1"/>
    </w:rPr>
  </w:style>
  <w:style w:type="paragraph" w:styleId="P11">
    <w:name w:val="Nagłówek tabeli (Publink)"/>
    <w:basedOn w:val="P8"/>
    <w:pPr>
      <w:spacing w:after="0" w:beforeAutospacing="0" w:afterAutospacing="0"/>
      <w:jc w:val="left"/>
    </w:pPr>
    <w:rPr>
      <w:b w:val="1"/>
    </w:rPr>
  </w:style>
  <w:style w:type="paragraph" w:styleId="P12">
    <w:name w:val="Komórka tabeli (Publink)"/>
    <w:basedOn w:val="P8"/>
    <w:pPr>
      <w:spacing w:after="0" w:beforeAutospacing="0" w:afterAutospacing="0"/>
      <w:jc w:val="left"/>
    </w:pPr>
    <w:rPr/>
  </w:style>
  <w:style w:type="paragraph" w:styleId="P13">
    <w:name w:val="Wyróżniona komórka tabeli (Publink)"/>
    <w:basedOn w:val="P12"/>
    <w:pPr/>
    <w:rPr>
      <w:b w:val="1"/>
    </w:rPr>
  </w:style>
  <w:style w:type="paragraph" w:styleId="P14">
    <w:name w:val="Podpis tabeli 2 (Publink)"/>
    <w:basedOn w:val="P8"/>
    <w:pPr>
      <w:spacing w:after="0" w:beforeAutospacing="0" w:afterAutospacing="0"/>
      <w:contextualSpacing w:val="1"/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Default_Table_Publink"/>
    <w:rPr>
      <w:color w:val="auto"/>
      <w:sz w:val="22"/>
      <w:shd w:val="clear" w:color="auto" w:fill="auto"/>
      <w:lang w:val="pl-PL" w:bidi="pl-PL" w:eastAsia="pl-PL"/>
    </w:rPr>
    <w:tblPr>
      <w:tblBorders>
        <w:top w:val="single" w:sz="4" w:space="0" w:shadow="0" w:frame="0" w:color="FFFFFF"/>
        <w:left w:val="single" w:sz="4" w:space="0" w:shadow="0" w:frame="0" w:color="FFFFFF"/>
        <w:bottom w:val="single" w:sz="4" w:space="0" w:shadow="0" w:frame="0" w:color="FFFFFF"/>
        <w:right w:val="single" w:sz="4" w:space="0" w:shadow="0" w:frame="0" w:color="FFFFFF"/>
        <w:insideH w:val="single" w:sz="4" w:space="0" w:shadow="0" w:frame="0" w:color="DADBDC"/>
        <w:insideV w:val="single" w:sz="4" w:space="0" w:shadow="0" w:frame="0" w:color="DADBDC"/>
      </w:tblBorders>
      <w:tblCellMar>
        <w:left w:w="0" w:type="dxa"/>
        <w:right w:w="0" w:type="dxa"/>
      </w:tblCellMar>
    </w:tblPr>
    <w:trPr/>
    <w:tcPr>
      <w:vAlign w:val="center"/>
    </w:tc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AndrzejewskaM</dc:creator>
  <dcterms:created xsi:type="dcterms:W3CDTF">2024-04-02T13:15:55Z</dcterms:created>
  <cp:lastModifiedBy>AndrzejewskaM</cp:lastModifiedBy>
  <dcterms:modified xsi:type="dcterms:W3CDTF">2024-06-05T12:38:29Z</dcterms:modified>
  <cp:revision>73</cp:revision>
</cp:coreProperties>
</file>