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6B07254" Type="http://schemas.openxmlformats.org/officeDocument/2006/relationships/officeDocument" Target="/word/document.xml" /><Relationship Id="coreR66B07254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Times New Roman" w:hAnsi="Times New Roman"/>
          <w:sz w:val="22"/>
        </w:rPr>
      </w:pPr>
    </w:p>
    <w:p>
      <w:pPr>
        <w:spacing w:lineRule="auto" w:line="360" w:beforeAutospacing="0" w:afterAutospacing="0"/>
        <w:jc w:val="center"/>
        <w:rPr>
          <w:rFonts w:ascii="Times New Roman" w:hAnsi="Times New Roman"/>
          <w:b w:val="1"/>
          <w:caps w:val="1"/>
          <w:sz w:val="22"/>
        </w:rPr>
      </w:pPr>
      <w:r>
        <w:rPr>
          <w:rFonts w:ascii="Times New Roman" w:hAnsi="Times New Roman"/>
          <w:b w:val="1"/>
          <w:caps w:val="1"/>
          <w:sz w:val="22"/>
        </w:rPr>
        <w:t>uzasadnienie</w:t>
      </w:r>
    </w:p>
    <w:p>
      <w:pPr>
        <w:pStyle w:val="P1"/>
        <w:rPr>
          <w:rFonts w:ascii="Times New Roman" w:hAnsi="Times New Roman"/>
          <w:sz w:val="22"/>
        </w:rPr>
      </w:pP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Zgodnie ze zmianami w budżecie na dzień 7 czerwca 2024 r., dokonano następujących zmian w Wieloletniej Prognozie Finansowej </w:t>
      </w:r>
      <w:r>
        <w:rPr>
          <w:rFonts w:ascii="Times New Roman" w:hAnsi="Times New Roman"/>
          <w:sz w:val="22"/>
          <w:lang w:val="pl-PL" w:bidi="pl-PL" w:eastAsia="pl-PL"/>
        </w:rPr>
        <w:t xml:space="preserve">Miasta i </w:t>
      </w:r>
      <w:r>
        <w:rPr>
          <w:rFonts w:ascii="Times New Roman" w:hAnsi="Times New Roman"/>
          <w:sz w:val="22"/>
        </w:rPr>
        <w:t>Gminy Górzno:</w:t>
      </w:r>
    </w:p>
    <w:p>
      <w:pPr>
        <w:pStyle w:val="P9"/>
        <w:numPr>
          <w:ilvl w:val="0"/>
          <w:numId w:val="36"/>
        </w:numPr>
        <w:spacing w:after="160" w:beforeAutospacing="0" w:afterAutospac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Dochody ogółem zwiększono o 56 348,00 zł, z czego dochody bieżące zwiększono o 56 348,00 zł, a dochody majątkowe nie uległy zmianie.</w:t>
      </w:r>
    </w:p>
    <w:p>
      <w:pPr>
        <w:pStyle w:val="P9"/>
        <w:numPr>
          <w:ilvl w:val="0"/>
          <w:numId w:val="36"/>
        </w:numPr>
        <w:spacing w:after="160" w:beforeAutospacing="0" w:afterAutospac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Wydatki ogółem zwiększono o 56 348,00 zł, z czego wydatki bieżące zwiększono o 56 348,00 zł, a wydatki majątkowe nie uległy zmianie.</w:t>
      </w:r>
    </w:p>
    <w:p>
      <w:pPr>
        <w:pStyle w:val="P9"/>
        <w:numPr>
          <w:ilvl w:val="0"/>
          <w:numId w:val="36"/>
        </w:numPr>
        <w:spacing w:after="160" w:beforeAutospacing="0" w:afterAutospac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Wynik budżetu nie uległ zmianie.</w:t>
      </w: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Szczegółowe informacje na temat zmian w zakresie dochodów, wydatków i wyniku budżetu w roku budżetowym przedstawiono w tabeli poniżej.</w:t>
      </w:r>
    </w:p>
    <w:p>
      <w:pPr>
        <w:pStyle w:val="P10"/>
        <w:keepNext w:val="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Tabela 1. Zmiany w dochodach i wydatkach w 2024 roku</w:t>
      </w:r>
    </w:p>
    <w:p>
      <w:pPr>
        <w:pStyle w:val="P10"/>
        <w:keepNext w:val="1"/>
        <w:rPr>
          <w:rFonts w:ascii="Times New Roman" w:hAnsi="Times New Roman"/>
          <w:sz w:val="22"/>
        </w:rPr>
      </w:pPr>
    </w:p>
    <w:tbl>
      <w:tblPr>
        <w:tblStyle w:val="T1"/>
        <w:tblW w:w="9072" w:type="dxa"/>
        <w:tblInd w:w="0" w:type="dxa"/>
        <w:tblLayout w:type="fixed"/>
        <w:tblLook w:val="04A0"/>
      </w:tblPr>
      <w:tblGrid/>
      <w:tr>
        <w:trPr>
          <w:tblHeader/>
        </w:trP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Wyszczególnienie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Przed zmianą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Zmiana [zł]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1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 zmianie [zł]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Dochody ogółem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35 509 864,89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+56 348,00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35 566 212,89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Dochody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24 938 351,61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+56 348,00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24 994 699,61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Dotacje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4 479 692,29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+56 348,00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4 536 040,29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Wydatki ogółem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39 467 481,92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+56 348,00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39 523 829,92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Wydatki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26 501 846,15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+56 348,00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26 558 194,15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Wynagrodzenia i pochodne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9 877 321,71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-1 065,10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9 876 256,61</w:t>
            </w:r>
          </w:p>
        </w:tc>
      </w:tr>
      <w:tr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Pozostałe wydatki bieżące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16 277 524,44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+57 413,10</w:t>
            </w:r>
          </w:p>
        </w:tc>
        <w:tc>
          <w:tcPr>
            <w:tcW w:w="1250" w:type="pct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>
            <w:pPr>
              <w:pStyle w:val="P1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16 334 937,54</w:t>
            </w:r>
          </w:p>
        </w:tc>
      </w:tr>
    </w:tbl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W Wieloletniej Prognozie Finansowej </w:t>
      </w:r>
      <w:r>
        <w:rPr>
          <w:rFonts w:ascii="Times New Roman" w:hAnsi="Times New Roman"/>
          <w:sz w:val="22"/>
          <w:lang w:val="pl-PL" w:bidi="pl-PL" w:eastAsia="pl-PL"/>
        </w:rPr>
        <w:t xml:space="preserve">Miasta i </w:t>
      </w:r>
      <w:r>
        <w:rPr>
          <w:rFonts w:ascii="Times New Roman" w:hAnsi="Times New Roman"/>
          <w:sz w:val="22"/>
        </w:rPr>
        <w:t>Gminy Górzno:</w:t>
      </w:r>
    </w:p>
    <w:p>
      <w:pPr>
        <w:pStyle w:val="P9"/>
        <w:numPr>
          <w:ilvl w:val="0"/>
          <w:numId w:val="37"/>
        </w:numPr>
        <w:spacing w:after="160" w:beforeAutospacing="0" w:afterAutospac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Przychody ogółem w roku budżetowym nie uległy zmianie.</w:t>
      </w:r>
    </w:p>
    <w:p>
      <w:pPr>
        <w:pStyle w:val="P9"/>
        <w:numPr>
          <w:ilvl w:val="0"/>
          <w:numId w:val="37"/>
        </w:numPr>
        <w:spacing w:after="160" w:beforeAutospacing="0" w:afterAutospacing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Rozchody ogółem w roku budżetowym nie uległy zmianie.</w:t>
      </w: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Od 2025 nie dokonywano zmian w zakresie planowanych przychodów.</w:t>
      </w: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Od 2025 nie dokonywano zmian w zakresie planowanych rozchodów.</w:t>
      </w: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>
      <w:pPr>
        <w:pStyle w:val="P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Pełen zakres zmian obrazuje załącznik nr 1 do niniejszego zarządzenia.</w:t>
      </w:r>
    </w:p>
    <w:p>
      <w:pPr>
        <w:spacing w:lineRule="auto" w:line="360" w:beforeAutospacing="0" w:afterAutospacing="0"/>
        <w:jc w:val="left"/>
        <w:rPr>
          <w:rFonts w:ascii="Times New Roman" w:hAnsi="Times New Roman"/>
          <w:sz w:val="22"/>
        </w:rPr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E2377E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">
    <w:nsid w:val="4A56704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">
    <w:nsid w:val="4AB1662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">
    <w:nsid w:val="4AB481A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4">
    <w:nsid w:val="73467FD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5">
    <w:nsid w:val="5275F34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6">
    <w:nsid w:val="4E7C780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7">
    <w:nsid w:val="525AA01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8">
    <w:nsid w:val="71FF996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9">
    <w:nsid w:val="24B5F8AD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0">
    <w:nsid w:val="3961BDD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1">
    <w:nsid w:val="5735EA0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2">
    <w:nsid w:val="310FB89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3">
    <w:nsid w:val="523ACCDB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4">
    <w:nsid w:val="16C0E31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5">
    <w:nsid w:val="1166D55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6">
    <w:nsid w:val="5BDBDCDC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7">
    <w:nsid w:val="62C95A7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8">
    <w:nsid w:val="7BD48D09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19">
    <w:nsid w:val="3B797EF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0">
    <w:nsid w:val="584C1971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1">
    <w:nsid w:val="2A9352BE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2">
    <w:nsid w:val="1842B44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3">
    <w:nsid w:val="656724F8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4">
    <w:nsid w:val="12292F17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5">
    <w:nsid w:val="03BC0772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6">
    <w:nsid w:val="3E100050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7">
    <w:nsid w:val="5E1C426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8">
    <w:nsid w:val="69308A26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29">
    <w:nsid w:val="336447C4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0">
    <w:nsid w:val="067CB44F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1">
    <w:nsid w:val="48ABCD95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2">
    <w:nsid w:val="66B2B883"/>
    <w:multiLevelType w:val="multilevel"/>
    <w:lvl w:ilvl="0">
      <w:start w:val="1"/>
      <w:numFmt w:val="bullet"/>
      <w:suff w:val="tab"/>
      <w:lvlText w:val="●"/>
      <w:lvlJc w:val="left"/>
      <w:pPr>
        <w:ind w:hanging="425" w:left="709"/>
      </w:pPr>
      <w:rPr/>
    </w:lvl>
    <w:lvl w:ilvl="1">
      <w:start w:val="1"/>
      <w:numFmt w:val="bullet"/>
      <w:suff w:val="tab"/>
      <w:lvlText w:val="○"/>
      <w:lvlJc w:val="left"/>
      <w:pPr>
        <w:ind w:hanging="425" w:left="1417"/>
      </w:pPr>
      <w:rPr/>
    </w:lvl>
    <w:lvl w:ilvl="2">
      <w:start w:val="1"/>
      <w:numFmt w:val="bullet"/>
      <w:suff w:val="tab"/>
      <w:lvlText w:val="⁃"/>
      <w:lvlJc w:val="left"/>
      <w:pPr>
        <w:ind w:hanging="425" w:left="2126"/>
      </w:pPr>
      <w:rPr/>
    </w:lvl>
    <w:lvl w:ilvl="3">
      <w:start w:val="1"/>
      <w:numFmt w:val="bullet"/>
      <w:suff w:val="tab"/>
      <w:lvlText w:val="⁃"/>
      <w:lvlJc w:val="left"/>
      <w:pPr>
        <w:ind w:hanging="425" w:left="2835"/>
      </w:pPr>
      <w:rPr/>
    </w:lvl>
    <w:lvl w:ilvl="4">
      <w:start w:val="1"/>
      <w:numFmt w:val="bullet"/>
      <w:suff w:val="tab"/>
      <w:lvlText w:val="%1."/>
      <w:lvlJc w:val="left"/>
      <w:pPr/>
      <w:rPr/>
    </w:lvl>
    <w:lvl w:ilvl="5">
      <w:start w:val="1"/>
      <w:numFmt w:val="bullet"/>
      <w:suff w:val="tab"/>
      <w:lvlText w:val="%1."/>
      <w:lvlJc w:val="left"/>
      <w:pPr/>
      <w:rPr/>
    </w:lvl>
    <w:lvl w:ilvl="6">
      <w:start w:val="1"/>
      <w:numFmt w:val="bullet"/>
      <w:suff w:val="tab"/>
      <w:lvlText w:val="%1."/>
      <w:lvlJc w:val="left"/>
      <w:pPr/>
      <w:rPr/>
    </w:lvl>
    <w:lvl w:ilvl="7">
      <w:start w:val="1"/>
      <w:numFmt w:val="bullet"/>
      <w:suff w:val="tab"/>
      <w:lvlText w:val="%1."/>
      <w:lvlJc w:val="left"/>
      <w:pPr/>
      <w:rPr/>
    </w:lvl>
    <w:lvl w:ilvl="8">
      <w:start w:val="1"/>
      <w:numFmt w:val="bullet"/>
      <w:suff w:val="tab"/>
      <w:lvlText w:val="%1."/>
      <w:lvlJc w:val="left"/>
      <w:pPr/>
      <w:rPr/>
    </w:lvl>
  </w:abstractNum>
  <w:abstractNum w:abstractNumId="33">
    <w:nsid w:val="4F3EDB3C"/>
    <w:multiLevelType w:val="hybridMultilevel"/>
    <w:lvl w:ilvl="0" w:tplc="7FF7CD68">
      <w:start w:val="1"/>
      <w:numFmt w:val="decimal"/>
      <w:suff w:val="tab"/>
      <w:lvlText w:val="%1."/>
      <w:lvlJc w:val="left"/>
      <w:pPr>
        <w:ind w:hanging="425" w:left="709"/>
      </w:pPr>
      <w:rPr/>
    </w:lvl>
    <w:lvl w:ilvl="1" w:tplc="1C2E18FF">
      <w:start w:val="1"/>
      <w:numFmt w:val="decimal"/>
      <w:suff w:val="tab"/>
      <w:lvlText w:val="%1."/>
      <w:lvlJc w:val="left"/>
      <w:pPr>
        <w:ind w:hanging="425" w:left="1417"/>
      </w:pPr>
      <w:rPr/>
    </w:lvl>
    <w:lvl w:ilvl="2" w:tplc="446C2879">
      <w:start w:val="1"/>
      <w:numFmt w:val="decimal"/>
      <w:suff w:val="tab"/>
      <w:lvlText w:val="%1."/>
      <w:lvlJc w:val="left"/>
      <w:pPr>
        <w:ind w:hanging="425" w:left="2126"/>
      </w:pPr>
      <w:rPr/>
    </w:lvl>
    <w:lvl w:ilvl="3" w:tplc="33F56627">
      <w:start w:val="1"/>
      <w:numFmt w:val="decimal"/>
      <w:suff w:val="tab"/>
      <w:lvlText w:val="%1."/>
      <w:lvlJc w:val="left"/>
      <w:pPr/>
      <w:rPr/>
    </w:lvl>
    <w:lvl w:ilvl="4" w:tplc="517777D7">
      <w:start w:val="1"/>
      <w:numFmt w:val="decimal"/>
      <w:suff w:val="tab"/>
      <w:lvlText w:val="%1."/>
      <w:lvlJc w:val="left"/>
      <w:pPr/>
      <w:rPr/>
    </w:lvl>
    <w:lvl w:ilvl="5" w:tplc="567656B9">
      <w:start w:val="1"/>
      <w:numFmt w:val="decimal"/>
      <w:suff w:val="tab"/>
      <w:lvlText w:val="%1."/>
      <w:lvlJc w:val="left"/>
      <w:pPr/>
      <w:rPr/>
    </w:lvl>
    <w:lvl w:ilvl="6" w:tplc="55AAC8F8">
      <w:start w:val="1"/>
      <w:numFmt w:val="decimal"/>
      <w:suff w:val="tab"/>
      <w:lvlText w:val="%1."/>
      <w:lvlJc w:val="left"/>
      <w:pPr/>
      <w:rPr/>
    </w:lvl>
    <w:lvl w:ilvl="7" w:tplc="311F808B">
      <w:start w:val="1"/>
      <w:numFmt w:val="decimal"/>
      <w:suff w:val="tab"/>
      <w:lvlText w:val="%1."/>
      <w:lvlJc w:val="left"/>
      <w:pPr/>
      <w:rPr/>
    </w:lvl>
    <w:lvl w:ilvl="8" w:tplc="050C32DA">
      <w:start w:val="1"/>
      <w:numFmt w:val="decimal"/>
      <w:suff w:val="tab"/>
      <w:lvlText w:val="%1."/>
      <w:lvlJc w:val="left"/>
      <w:pPr/>
      <w:rPr/>
    </w:lvl>
  </w:abstractNum>
  <w:abstractNum w:abstractNumId="34">
    <w:nsid w:val="05BA076E"/>
    <w:multiLevelType w:val="hybridMultilevel"/>
    <w:lvl w:ilvl="0" w:tplc="12D22547">
      <w:start w:val="1"/>
      <w:numFmt w:val="decimal"/>
      <w:suff w:val="tab"/>
      <w:lvlText w:val="%1."/>
      <w:lvlJc w:val="left"/>
      <w:pPr>
        <w:ind w:hanging="425" w:left="709"/>
      </w:pPr>
      <w:rPr/>
    </w:lvl>
    <w:lvl w:ilvl="1" w:tplc="007EE2AC">
      <w:start w:val="1"/>
      <w:numFmt w:val="decimal"/>
      <w:suff w:val="tab"/>
      <w:lvlText w:val="%1."/>
      <w:lvlJc w:val="left"/>
      <w:pPr>
        <w:ind w:hanging="425" w:left="1417"/>
      </w:pPr>
      <w:rPr/>
    </w:lvl>
    <w:lvl w:ilvl="2" w:tplc="1A54C6DE">
      <w:start w:val="1"/>
      <w:numFmt w:val="decimal"/>
      <w:suff w:val="tab"/>
      <w:lvlText w:val="%1."/>
      <w:lvlJc w:val="left"/>
      <w:pPr>
        <w:ind w:hanging="425" w:left="2126"/>
      </w:pPr>
      <w:rPr/>
    </w:lvl>
    <w:lvl w:ilvl="3" w:tplc="49E2A898">
      <w:start w:val="1"/>
      <w:numFmt w:val="decimal"/>
      <w:suff w:val="tab"/>
      <w:lvlText w:val="%1."/>
      <w:lvlJc w:val="left"/>
      <w:pPr/>
      <w:rPr/>
    </w:lvl>
    <w:lvl w:ilvl="4" w:tplc="14285F6B">
      <w:start w:val="1"/>
      <w:numFmt w:val="decimal"/>
      <w:suff w:val="tab"/>
      <w:lvlText w:val="%1."/>
      <w:lvlJc w:val="left"/>
      <w:pPr/>
      <w:rPr/>
    </w:lvl>
    <w:lvl w:ilvl="5" w:tplc="660FA6CC">
      <w:start w:val="1"/>
      <w:numFmt w:val="decimal"/>
      <w:suff w:val="tab"/>
      <w:lvlText w:val="%1."/>
      <w:lvlJc w:val="left"/>
      <w:pPr/>
      <w:rPr/>
    </w:lvl>
    <w:lvl w:ilvl="6" w:tplc="69100F97">
      <w:start w:val="1"/>
      <w:numFmt w:val="decimal"/>
      <w:suff w:val="tab"/>
      <w:lvlText w:val="%1."/>
      <w:lvlJc w:val="left"/>
      <w:pPr/>
      <w:rPr/>
    </w:lvl>
    <w:lvl w:ilvl="7" w:tplc="4E48236A">
      <w:start w:val="1"/>
      <w:numFmt w:val="decimal"/>
      <w:suff w:val="tab"/>
      <w:lvlText w:val="%1."/>
      <w:lvlJc w:val="left"/>
      <w:pPr/>
      <w:rPr/>
    </w:lvl>
    <w:lvl w:ilvl="8" w:tplc="2ED82774">
      <w:start w:val="1"/>
      <w:numFmt w:val="decimal"/>
      <w:suff w:val="tab"/>
      <w:lvlText w:val="%1."/>
      <w:lvlJc w:val="left"/>
      <w:pPr/>
      <w:rPr/>
    </w:lvl>
  </w:abstractNum>
  <w:abstractNum w:abstractNumId="35">
    <w:nsid w:val="5E9804B4"/>
    <w:multiLevelType w:val="hybridMultilevel"/>
    <w:lvl w:ilvl="0" w:tplc="0C19FC08">
      <w:start w:val="1"/>
      <w:numFmt w:val="decimal"/>
      <w:suff w:val="tab"/>
      <w:lvlText w:val="%1."/>
      <w:lvlJc w:val="left"/>
      <w:pPr>
        <w:ind w:hanging="425" w:left="709"/>
      </w:pPr>
      <w:rPr/>
    </w:lvl>
    <w:lvl w:ilvl="1" w:tplc="64DAD039">
      <w:start w:val="1"/>
      <w:numFmt w:val="decimal"/>
      <w:suff w:val="tab"/>
      <w:lvlText w:val="%1."/>
      <w:lvlJc w:val="left"/>
      <w:pPr>
        <w:ind w:hanging="425" w:left="1417"/>
      </w:pPr>
      <w:rPr/>
    </w:lvl>
    <w:lvl w:ilvl="2" w:tplc="193B30C1">
      <w:start w:val="1"/>
      <w:numFmt w:val="decimal"/>
      <w:suff w:val="tab"/>
      <w:lvlText w:val="%1."/>
      <w:lvlJc w:val="left"/>
      <w:pPr>
        <w:ind w:hanging="425" w:left="2126"/>
      </w:pPr>
      <w:rPr/>
    </w:lvl>
    <w:lvl w:ilvl="3" w:tplc="6A5143D5">
      <w:start w:val="1"/>
      <w:numFmt w:val="decimal"/>
      <w:suff w:val="tab"/>
      <w:lvlText w:val="%1."/>
      <w:lvlJc w:val="left"/>
      <w:pPr/>
      <w:rPr/>
    </w:lvl>
    <w:lvl w:ilvl="4" w:tplc="1055161D">
      <w:start w:val="1"/>
      <w:numFmt w:val="decimal"/>
      <w:suff w:val="tab"/>
      <w:lvlText w:val="%1."/>
      <w:lvlJc w:val="left"/>
      <w:pPr/>
      <w:rPr/>
    </w:lvl>
    <w:lvl w:ilvl="5" w:tplc="343A4B72">
      <w:start w:val="1"/>
      <w:numFmt w:val="decimal"/>
      <w:suff w:val="tab"/>
      <w:lvlText w:val="%1."/>
      <w:lvlJc w:val="left"/>
      <w:pPr/>
      <w:rPr/>
    </w:lvl>
    <w:lvl w:ilvl="6" w:tplc="28191489">
      <w:start w:val="1"/>
      <w:numFmt w:val="decimal"/>
      <w:suff w:val="tab"/>
      <w:lvlText w:val="%1."/>
      <w:lvlJc w:val="left"/>
      <w:pPr/>
      <w:rPr/>
    </w:lvl>
    <w:lvl w:ilvl="7" w:tplc="3D72B4A9">
      <w:start w:val="1"/>
      <w:numFmt w:val="decimal"/>
      <w:suff w:val="tab"/>
      <w:lvlText w:val="%1."/>
      <w:lvlJc w:val="left"/>
      <w:pPr/>
      <w:rPr/>
    </w:lvl>
    <w:lvl w:ilvl="8" w:tplc="512E91D3">
      <w:start w:val="1"/>
      <w:numFmt w:val="decimal"/>
      <w:suff w:val="tab"/>
      <w:lvlText w:val="%1."/>
      <w:lvlJc w:val="left"/>
      <w:pPr/>
      <w:rPr/>
    </w:lvl>
  </w:abstractNum>
  <w:abstractNum w:abstractNumId="36">
    <w:nsid w:val="3FB4A00A"/>
    <w:multiLevelType w:val="hybridMultilevel"/>
    <w:lvl w:ilvl="0" w:tplc="7DA5B58D">
      <w:start w:val="1"/>
      <w:numFmt w:val="decimal"/>
      <w:suff w:val="tab"/>
      <w:lvlText w:val="%1."/>
      <w:lvlJc w:val="left"/>
      <w:pPr>
        <w:ind w:hanging="425" w:left="709"/>
      </w:pPr>
      <w:rPr/>
    </w:lvl>
    <w:lvl w:ilvl="1" w:tplc="2A5FEC4F">
      <w:start w:val="1"/>
      <w:numFmt w:val="decimal"/>
      <w:suff w:val="tab"/>
      <w:lvlText w:val="%1."/>
      <w:lvlJc w:val="left"/>
      <w:pPr>
        <w:ind w:hanging="425" w:left="1417"/>
      </w:pPr>
      <w:rPr/>
    </w:lvl>
    <w:lvl w:ilvl="2" w:tplc="49C19170">
      <w:start w:val="1"/>
      <w:numFmt w:val="decimal"/>
      <w:suff w:val="tab"/>
      <w:lvlText w:val="%1."/>
      <w:lvlJc w:val="left"/>
      <w:pPr>
        <w:ind w:hanging="425" w:left="2126"/>
      </w:pPr>
      <w:rPr/>
    </w:lvl>
    <w:lvl w:ilvl="3" w:tplc="007CB979">
      <w:start w:val="1"/>
      <w:numFmt w:val="decimal"/>
      <w:suff w:val="tab"/>
      <w:lvlText w:val="%1."/>
      <w:lvlJc w:val="left"/>
      <w:pPr/>
      <w:rPr/>
    </w:lvl>
    <w:lvl w:ilvl="4" w:tplc="15CB4C28">
      <w:start w:val="1"/>
      <w:numFmt w:val="decimal"/>
      <w:suff w:val="tab"/>
      <w:lvlText w:val="%1."/>
      <w:lvlJc w:val="left"/>
      <w:pPr/>
      <w:rPr/>
    </w:lvl>
    <w:lvl w:ilvl="5" w:tplc="7BEBA395">
      <w:start w:val="1"/>
      <w:numFmt w:val="decimal"/>
      <w:suff w:val="tab"/>
      <w:lvlText w:val="%1."/>
      <w:lvlJc w:val="left"/>
      <w:pPr/>
      <w:rPr/>
    </w:lvl>
    <w:lvl w:ilvl="6" w:tplc="779C7DEE">
      <w:start w:val="1"/>
      <w:numFmt w:val="decimal"/>
      <w:suff w:val="tab"/>
      <w:lvlText w:val="%1."/>
      <w:lvlJc w:val="left"/>
      <w:pPr/>
      <w:rPr/>
    </w:lvl>
    <w:lvl w:ilvl="7" w:tplc="3F14071F">
      <w:start w:val="1"/>
      <w:numFmt w:val="decimal"/>
      <w:suff w:val="tab"/>
      <w:lvlText w:val="%1."/>
      <w:lvlJc w:val="left"/>
      <w:pPr/>
      <w:rPr/>
    </w:lvl>
    <w:lvl w:ilvl="8" w:tplc="404C9C05">
      <w:start w:val="1"/>
      <w:numFmt w:val="decimal"/>
      <w:suff w:val="tab"/>
      <w:lvlText w:val="%1."/>
      <w:lvlJc w:val="left"/>
      <w:pPr/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Heading1"/>
    <w:basedOn w:val="P0"/>
    <w:next w:val="P1"/>
    <w:pPr>
      <w:keepNext w:val="1"/>
      <w:spacing w:after="160" w:beforeAutospacing="0" w:afterAutospacing="0"/>
      <w:contextualSpacing w:val="1"/>
      <w:jc w:val="both"/>
    </w:pPr>
    <w:rPr>
      <w:b w:val="1"/>
      <w:color w:val="auto"/>
      <w:sz w:val="28"/>
      <w:shd w:val="clear" w:color="auto" w:fill="auto"/>
    </w:rPr>
  </w:style>
  <w:style w:type="paragraph" w:styleId="P2">
    <w:name w:val="ListParagraph"/>
    <w:basedOn w:val="P0"/>
    <w:next w:val="P2"/>
    <w:pPr>
      <w:spacing w:lineRule="auto" w:line="276" w:after="160" w:beforeAutospacing="0" w:afterAutospacing="0"/>
      <w:contextualSpacing w:val="1"/>
    </w:pPr>
    <w:rPr>
      <w:color w:val="auto"/>
      <w:shd w:val="clear" w:color="auto" w:fill="auto"/>
    </w:rPr>
  </w:style>
  <w:style w:type="paragraph" w:styleId="P3">
    <w:name w:val="Default_HeadingCell"/>
    <w:basedOn w:val="P0"/>
    <w:next w:val="P3"/>
    <w:pPr>
      <w:spacing w:lineRule="auto" w:line="276" w:before="113" w:after="113" w:beforeAutospacing="0" w:afterAutospacing="0"/>
      <w:ind w:left="113" w:right="113"/>
      <w:jc w:val="center"/>
    </w:pPr>
    <w:rPr>
      <w:b w:val="1"/>
      <w:color w:val="FFFFFF"/>
      <w:sz w:val="15"/>
      <w:shd w:val="clear" w:color="auto" w:fill="auto"/>
    </w:rPr>
  </w:style>
  <w:style w:type="paragraph" w:styleId="P4">
    <w:name w:val="Default_ExplanationChanges_TitleRowCell"/>
    <w:basedOn w:val="P0"/>
    <w:next w:val="P4"/>
    <w:pPr>
      <w:spacing w:lineRule="auto" w:line="276" w:before="17" w:after="17" w:beforeAutospacing="0" w:afterAutospacing="0"/>
      <w:ind w:left="113" w:right="113"/>
    </w:pPr>
    <w:rPr>
      <w:color w:val="auto"/>
      <w:sz w:val="15"/>
      <w:shd w:val="clear" w:color="auto" w:fill="auto"/>
    </w:rPr>
  </w:style>
  <w:style w:type="paragraph" w:styleId="P5">
    <w:name w:val="Default_FooterValueCell"/>
    <w:basedOn w:val="P0"/>
    <w:next w:val="P5"/>
    <w:pPr>
      <w:spacing w:lineRule="auto" w:line="276" w:before="17" w:after="17" w:beforeAutospacing="0" w:afterAutospacing="0"/>
      <w:ind w:left="113" w:right="113"/>
      <w:jc w:val="right"/>
    </w:pPr>
    <w:rPr>
      <w:b w:val="1"/>
      <w:color w:val="auto"/>
      <w:sz w:val="15"/>
      <w:shd w:val="clear" w:color="auto" w:fill="auto"/>
    </w:rPr>
  </w:style>
  <w:style w:type="paragraph" w:styleId="P6">
    <w:name w:val="Default_ExplanationChanges_SectionRowCell"/>
    <w:basedOn w:val="P0"/>
    <w:next w:val="P6"/>
    <w:pPr>
      <w:spacing w:lineRule="auto" w:line="276" w:before="17" w:after="17" w:beforeAutospacing="0" w:afterAutospacing="0"/>
      <w:ind w:left="113" w:right="113"/>
      <w:jc w:val="right"/>
    </w:pPr>
    <w:rPr>
      <w:color w:val="auto"/>
      <w:sz w:val="15"/>
      <w:shd w:val="clear" w:color="auto" w:fill="auto"/>
    </w:rPr>
  </w:style>
  <w:style w:type="paragraph" w:styleId="P7">
    <w:name w:val="ParagraphLeftAlign"/>
    <w:basedOn w:val="P0"/>
    <w:next w:val="P7"/>
    <w:pPr>
      <w:spacing w:lineRule="auto" w:line="276" w:after="160" w:beforeAutospacing="0" w:afterAutospacing="0"/>
    </w:pPr>
    <w:rPr>
      <w:color w:val="auto"/>
      <w:shd w:val="clear" w:color="auto" w:fill="auto"/>
    </w:rPr>
  </w:style>
  <w:style w:type="paragraph" w:styleId="P8">
    <w:name w:val="Tekst (Publink)"/>
    <w:basedOn w:val="P0"/>
    <w:pPr>
      <w:spacing w:after="160" w:beforeAutospacing="0" w:afterAutospacing="0"/>
      <w:jc w:val="both"/>
    </w:pPr>
    <w:rPr>
      <w:rFonts w:ascii="Calibri" w:hAnsi="Calibri"/>
      <w:color w:val="auto"/>
      <w:sz w:val="20"/>
      <w:shd w:val="clear" w:color="auto" w:fill="auto"/>
    </w:rPr>
  </w:style>
  <w:style w:type="paragraph" w:styleId="P9">
    <w:name w:val="Lista (Publink)"/>
    <w:basedOn w:val="P8"/>
    <w:pPr>
      <w:spacing w:after="0" w:beforeAutospacing="0" w:afterAutospacing="0"/>
      <w:contextualSpacing w:val="1"/>
      <w:jc w:val="left"/>
    </w:pPr>
    <w:rPr/>
  </w:style>
  <w:style w:type="paragraph" w:styleId="P10">
    <w:name w:val="Podpis tabeli (Publink)"/>
    <w:basedOn w:val="P8"/>
    <w:pPr>
      <w:spacing w:before="160" w:after="0" w:beforeAutospacing="0" w:afterAutospacing="0"/>
      <w:jc w:val="left"/>
    </w:pPr>
    <w:rPr>
      <w:b w:val="1"/>
    </w:rPr>
  </w:style>
  <w:style w:type="paragraph" w:styleId="P11">
    <w:name w:val="Nagłówek tabeli (Publink)"/>
    <w:basedOn w:val="P8"/>
    <w:pPr>
      <w:spacing w:after="0" w:beforeAutospacing="0" w:afterAutospacing="0"/>
      <w:jc w:val="left"/>
    </w:pPr>
    <w:rPr>
      <w:b w:val="1"/>
    </w:rPr>
  </w:style>
  <w:style w:type="paragraph" w:styleId="P12">
    <w:name w:val="Komórka tabeli (Publink)"/>
    <w:basedOn w:val="P8"/>
    <w:pPr>
      <w:spacing w:after="0" w:beforeAutospacing="0" w:afterAutospacing="0"/>
      <w:jc w:val="left"/>
    </w:pPr>
    <w:rPr/>
  </w:style>
  <w:style w:type="paragraph" w:styleId="P13">
    <w:name w:val="Wyróżniona komórka tabeli (Publink)"/>
    <w:basedOn w:val="P12"/>
    <w:pPr/>
    <w:rPr>
      <w:b w:val="1"/>
    </w:rPr>
  </w:style>
  <w:style w:type="paragraph" w:styleId="P14">
    <w:name w:val="Podpis tabeli 2 (Publink)"/>
    <w:basedOn w:val="P8"/>
    <w:pPr>
      <w:spacing w:after="0" w:beforeAutospacing="0" w:afterAutospacing="0"/>
      <w:contextualSpacing w:val="1"/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Default_Table_Publink"/>
    <w:rPr>
      <w:color w:val="auto"/>
      <w:sz w:val="22"/>
      <w:shd w:val="clear" w:color="auto" w:fill="auto"/>
      <w:lang w:val="pl-PL" w:bidi="pl-PL" w:eastAsia="pl-PL"/>
    </w:rPr>
    <w:tblPr>
      <w:tblBorders>
        <w:top w:val="single" w:sz="4" w:space="0" w:shadow="0" w:frame="0" w:color="FFFFFF"/>
        <w:left w:val="single" w:sz="4" w:space="0" w:shadow="0" w:frame="0" w:color="FFFFFF"/>
        <w:bottom w:val="single" w:sz="4" w:space="0" w:shadow="0" w:frame="0" w:color="FFFFFF"/>
        <w:right w:val="single" w:sz="4" w:space="0" w:shadow="0" w:frame="0" w:color="FFFFFF"/>
        <w:insideH w:val="single" w:sz="4" w:space="0" w:shadow="0" w:frame="0" w:color="DADBDC"/>
        <w:insideV w:val="single" w:sz="4" w:space="0" w:shadow="0" w:frame="0" w:color="DADBDC"/>
      </w:tblBorders>
      <w:tblCellMar>
        <w:left w:w="0" w:type="dxa"/>
        <w:right w:w="0" w:type="dxa"/>
      </w:tblCellMar>
    </w:tblPr>
    <w:trPr/>
    <w:tcPr>
      <w:vAlign w:val="center"/>
    </w:tc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AndrzejewskaM</dc:creator>
  <dcterms:created xsi:type="dcterms:W3CDTF">2024-04-02T13:15:55Z</dcterms:created>
  <cp:lastModifiedBy>AndrzejewskaM</cp:lastModifiedBy>
  <dcterms:modified xsi:type="dcterms:W3CDTF">2024-06-07T10:43:49Z</dcterms:modified>
  <cp:revision>81</cp:revision>
</cp:coreProperties>
</file>