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C172893" Type="http://schemas.openxmlformats.org/officeDocument/2006/relationships/officeDocument" Target="/word/document.xml" /><Relationship Id="coreR6C17289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ze zmianami w budżecie na dzień 28 czerwca 2024 r., dokonano następujących zmian w Wieloletniej Prognozie Finansowej 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1.Dochody ogółem zwiększono o 25 766,10 zł, z czego dochody bieżące zwiększono o 25 766,10 zł, a dochody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2.Wydatki ogółem zwiększono o 336 488,10 zł, z czego wydatki bieżące zmniejszono o 5 891,90 zł, a wydatki majątkowe zwiększono o 342 380,00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3.Wynik budżetu jest deficytowy i po zmianach wynosi - 4 268 339,03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Szczegółowe informacje na temat zmian w zakresie dochodów, wydatków i wyniku budżetu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Tabela 1. Zmiany w dochodach i wydatkach w 2024 roku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35 566 212,89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+25 766,10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35 591 978,99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24 994 699,61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+25 766,10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25 020 465,71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Dotacje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4 536 040,29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+13 299,00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4 549 339,29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4 799 107,32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+12 467,10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4 811 574,42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39 523 829,92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+336 488,10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39 860 318,02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26 558 194,15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-5 891,90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26 552 302,25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Wynagrodzenia i pochodne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9 876 256,61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+34 164,00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9 910 420,61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 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16 334 937,54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-40 055,90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16 294 881,64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majątkowe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12 965 635,77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+342 380,00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13 308 015,77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Wynik budżetu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-3 957 617,03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-310 722,00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-4 268 339,03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Wieloletniej Prognozie Finansowej 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1.Przychody ogółem w roku budżetowym zwiększono o 310 722,00 zł i po zmianach wynoszą 4 842 481,87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2.Rozchody ogółem w roku budżetowym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informacje na temat zmian w zakresie przychodów i rozchodów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2. Zmiany w przychodach i rozchodach na 2024 rok.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Przychody budżetu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4 531 759,87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+310 722,00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4 842 481,87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Wolne środki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2 513 462,71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+310 722,00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2 824 184,71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2025 nie dokonywano zmian w zakresie planowanych przychodów.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2025 nie dokonywano zmian w zakresie planowanych rozchodów.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wykazane w pozostałych pozycjach WPF, stanowią informacje uzupełniające względem pozycji opisanych powyżej. Zostały przedstawione w WPF zgodnie z obowiązującym stanem faktycznym, na podstawie zawartych umów i porozumień.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Pełen zakres zmian obrazuje załącznik nr 1 do niniejszej uchwały.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2024-07-03T07:40:32Z</dcterms:created>
  <cp:lastModifiedBy>JaroszewskaM</cp:lastModifiedBy>
  <dcterms:modified xsi:type="dcterms:W3CDTF">2024-07-04T07:34:05Z</dcterms:modified>
  <cp:revision>3</cp:revision>
  <dc:subject>w sprawie zmiany Wieloletniej Prognozy Finansowej Miasta i Gminy Górzno na lata 2024-2034</dc:subject>
  <dc:title>Uchwała Nr IV/20/2024 z dnia 28 czerwca 2024 r.</dc:title>
</cp:coreProperties>
</file>