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0DAAE9" Type="http://schemas.openxmlformats.org/officeDocument/2006/relationships/officeDocument" Target="/word/document.xml" /><Relationship Id="coreR3A0DAAE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jc w:val="center"/>
        <w:rPr>
          <w:b w:val="1"/>
          <w:caps w:val="1"/>
          <w:sz w:val="22"/>
        </w:rPr>
      </w:pPr>
      <w:r>
        <w:rPr>
          <w:b w:val="1"/>
          <w:caps w:val="1"/>
          <w:sz w:val="22"/>
        </w:rPr>
        <w:t>uzasadnienie</w:t>
      </w:r>
    </w:p>
    <w:p>
      <w:pPr>
        <w:pStyle w:val="P1"/>
        <w:rPr>
          <w:sz w:val="22"/>
        </w:rPr>
      </w:pPr>
      <w:r>
        <w:rPr>
          <w:sz w:val="22"/>
        </w:rPr>
        <w:t>DOCHODY</w:t>
      </w:r>
    </w:p>
    <w:p>
      <w:pPr>
        <w:rPr>
          <w:sz w:val="22"/>
        </w:rPr>
      </w:pPr>
      <w:r>
        <w:rPr>
          <w:sz w:val="22"/>
        </w:rPr>
        <w:t>Dochody budżetu Miasta i Gminy Górzno na rok 2024 zostają zwiększone o kwotę 20 327,00 zł do kwoty 35 612 305,99 zł, w tym:</w:t>
      </w:r>
    </w:p>
    <w:p>
      <w:pPr>
        <w:pStyle w:val="P2"/>
        <w:numPr>
          <w:ilvl w:val="0"/>
          <w:numId w:val="44"/>
        </w:numPr>
        <w:rPr>
          <w:sz w:val="22"/>
        </w:rPr>
      </w:pPr>
      <w:r>
        <w:rPr>
          <w:sz w:val="22"/>
        </w:rPr>
        <w:t>dochody bieżące ulegają zwiększeniu o kwotę 20 327,00 zł do kwoty 25 040 792,71 zł,</w:t>
      </w:r>
    </w:p>
    <w:p>
      <w:pPr>
        <w:pStyle w:val="P2"/>
        <w:numPr>
          <w:ilvl w:val="0"/>
          <w:numId w:val="44"/>
        </w:numPr>
        <w:rPr>
          <w:sz w:val="22"/>
        </w:rPr>
      </w:pPr>
      <w:r>
        <w:rPr>
          <w:sz w:val="22"/>
        </w:rPr>
        <w:t>dochody majątkowe nie uległy zmianie.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zwiększeń po stronie dochodów bieżących:</w:t>
      </w:r>
    </w:p>
    <w:p>
      <w:pPr>
        <w:pStyle w:val="P2"/>
        <w:numPr>
          <w:ilvl w:val="0"/>
          <w:numId w:val="45"/>
        </w:numPr>
        <w:rPr>
          <w:sz w:val="22"/>
        </w:rPr>
      </w:pPr>
      <w:r>
        <w:rPr>
          <w:sz w:val="22"/>
        </w:rPr>
        <w:t>w dziale „Administracja publiczna” w rozdziale „Urzędy wojewódzkie” w ramach paragrafu „Dotacja celowa otrzymana z budżetu państwa na realizację zadań bieżących z zakresu administracji rządowej oraz innych zadań zleconych gminie (związkom gmin, związkom powiatowo-gminnym) ustawami” zwiększa się dochody o 1 652,00 zł do kwoty 71 983,00 zł</w:t>
      </w:r>
      <w:r>
        <w:rPr>
          <w:sz w:val="22"/>
          <w:lang w:val="pl-PL" w:bidi="pl-PL" w:eastAsia="pl-PL"/>
        </w:rPr>
        <w:t xml:space="preserve"> - </w:t>
      </w:r>
      <w:r>
        <w:rPr>
          <w:b w:val="1"/>
          <w:sz w:val="22"/>
          <w:lang w:val="pl-PL" w:bidi="pl-PL" w:eastAsia="pl-PL"/>
        </w:rPr>
        <w:t>decyzja Wojewody Kujawsko-Pomorskiego z dnia 24 czerwca 2024 r. nr WFB.I.3120.3.47.2024 - zwiększenie dotacji celowej z przeznaczeniem na dofinansowanie realizacji zadań bieżących z zakresu administracji rządowej</w:t>
      </w:r>
      <w:r>
        <w:rPr>
          <w:sz w:val="22"/>
        </w:rPr>
        <w:t>;</w:t>
      </w:r>
    </w:p>
    <w:p>
      <w:pPr>
        <w:pStyle w:val="P2"/>
        <w:numPr>
          <w:ilvl w:val="0"/>
          <w:numId w:val="45"/>
        </w:numPr>
        <w:rPr>
          <w:sz w:val="22"/>
        </w:rPr>
      </w:pPr>
      <w:r>
        <w:rPr>
          <w:sz w:val="22"/>
        </w:rPr>
        <w:t>w dziale „Urzędy naczelnych organów władzy państwowej, kontroli i ochrony prawa oraz sądownictwa” w rozdziale „Wybory do Parlamentu Europejskiego” w ramach paragrafu „Dotacja celowa otrzymana z budżetu państwa na realizację zadań bieżących z zakresu administracji rządowej oraz innych zadań zleconych gminie (związkom gmin, związkom powiatowo-gminnym) ustawami” zwiększa się dochody o 1 200,00 zł do kwoty 43 595,00 zł</w:t>
      </w:r>
      <w:r>
        <w:rPr>
          <w:sz w:val="22"/>
          <w:lang w:val="pl-PL" w:bidi="pl-PL" w:eastAsia="pl-PL"/>
        </w:rPr>
        <w:t xml:space="preserve"> - </w:t>
      </w:r>
      <w:r>
        <w:rPr>
          <w:b w:val="1"/>
          <w:sz w:val="22"/>
          <w:lang w:val="pl-PL" w:bidi="pl-PL" w:eastAsia="pl-PL"/>
        </w:rPr>
        <w:t>decyzja nr 21/2024 Dyrektora Delegatury Krajowego Biura Wyborczego w Toruniu z dnia 25 czerwca 2024 r. - pismo nr DTR.3113.12.2024 - dotacja na zadania zlecone gminom związane z przygotowaniem i przeprowadzeniem wyborów do Parlamentu Europejskiego zarządzonych na dzień 9 czerwca 2024 r. z przeznaczeniem na zryczałtowane diety dla mężów zaufania, o których mowa w art. 103aa Kodeksu wyborczego</w:t>
      </w:r>
      <w:r>
        <w:rPr>
          <w:sz w:val="22"/>
        </w:rPr>
        <w:t>;</w:t>
      </w:r>
    </w:p>
    <w:p>
      <w:pPr>
        <w:pStyle w:val="P2"/>
        <w:numPr>
          <w:ilvl w:val="0"/>
          <w:numId w:val="45"/>
        </w:numPr>
        <w:rPr>
          <w:sz w:val="22"/>
        </w:rPr>
      </w:pPr>
      <w:r>
        <w:rPr>
          <w:sz w:val="22"/>
        </w:rPr>
        <w:t>w dziale „Różne rozliczenia” w rozdziale „Różne rozliczenia finansowe” w ramach paragrafu „Środki z Funduszu Pomocy na finansowanie lub dofinansowanie zadań bieżących w zakresie pomocy obywatelom Ukrainy” zwiększa się dochody o 17 475,00 zł do kwoty 86 924,00 zł</w:t>
      </w:r>
      <w:r>
        <w:rPr>
          <w:sz w:val="22"/>
          <w:lang w:val="pl-PL" w:bidi="pl-PL" w:eastAsia="pl-PL"/>
        </w:rPr>
        <w:t xml:space="preserve"> - </w:t>
      </w:r>
      <w:r>
        <w:rPr>
          <w:b w:val="1"/>
          <w:sz w:val="22"/>
          <w:lang w:val="pl-PL" w:bidi="pl-PL" w:eastAsia="pl-PL"/>
        </w:rPr>
        <w:t xml:space="preserve"> środki z Funduszu Pomocy na dodatkowe zadania oświatowej</w:t>
      </w:r>
      <w:r>
        <w:rPr>
          <w:sz w:val="22"/>
        </w:rPr>
        <w:t>;</w:t>
      </w:r>
    </w:p>
    <w:p>
      <w:pPr>
        <w:rPr>
          <w:sz w:val="22"/>
        </w:rPr>
      </w:pPr>
      <w:r>
        <w:rPr>
          <w:sz w:val="22"/>
        </w:rP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35 591 978,99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20 327,00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35 612 305,99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25 020 465,71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20 327,00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25 040 792,71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Administracja publiczna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170 331,00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1 652,00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171 983,00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168 269,00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1 200,00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169 469,00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Różne rozliczenia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12 908 769,00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17 475,00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12 926 244,00</w:t>
            </w:r>
          </w:p>
        </w:tc>
      </w:tr>
    </w:tbl>
    <w:p/>
    <w:p>
      <w:pPr>
        <w:pStyle w:val="P1"/>
        <w:rPr>
          <w:sz w:val="22"/>
        </w:rPr>
      </w:pPr>
      <w:r>
        <w:rPr>
          <w:sz w:val="22"/>
        </w:rPr>
        <w:t>WYDATKI</w:t>
      </w:r>
    </w:p>
    <w:p>
      <w:pPr>
        <w:rPr>
          <w:sz w:val="22"/>
        </w:rPr>
      </w:pPr>
      <w:r>
        <w:rPr>
          <w:sz w:val="22"/>
        </w:rPr>
        <w:t>Wydatki budżetu Miasta i Gminy Górzno na rok 2024 zostają zwiększone o kwotę 20 327,00 zł do kwoty 39 880 645,02 zł, w tym:</w:t>
      </w:r>
    </w:p>
    <w:p>
      <w:pPr>
        <w:pStyle w:val="P2"/>
        <w:numPr>
          <w:ilvl w:val="0"/>
          <w:numId w:val="46"/>
        </w:numPr>
        <w:rPr>
          <w:sz w:val="22"/>
        </w:rPr>
      </w:pPr>
      <w:r>
        <w:rPr>
          <w:sz w:val="22"/>
        </w:rPr>
        <w:t>wydatki bieżące ulegają zwiększeniu o kwotę 20 327,00 zł do kwoty 26 572 629,25 zł,</w:t>
      </w:r>
    </w:p>
    <w:p>
      <w:pPr>
        <w:pStyle w:val="P2"/>
        <w:numPr>
          <w:ilvl w:val="0"/>
          <w:numId w:val="46"/>
        </w:numPr>
        <w:rPr>
          <w:sz w:val="22"/>
        </w:rPr>
      </w:pPr>
      <w:r>
        <w:rPr>
          <w:sz w:val="22"/>
        </w:rPr>
        <w:t>wydatki majątkowe nie uległy zmianie.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zwiększeń po stronie wydatków bieżących: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„Administracja publiczna” w rozdziale „Urzędy wojewódzkie” w ramach paragrafu „Wynagrodzenia osobowe pracowników” zwiększa się wydatki o 1 383,81 zł do kwoty 54 767,49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„Administracja publiczna” w rozdziale „Urzędy wojewódzkie” w ramach paragrafu „Składki na ubezpieczenia społeczne” zwiększa się wydatki o 234,27 zł do kwoty 10 294,16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„Administracja publiczna” w rozdziale „Urzędy wojewódzkie” w ramach paragrafu „Składki na Fundusz Pracy oraz Fundusz Solidarnościowy” zwiększa się wydatki o 33,92 zł do kwoty 1 475,26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„Administracja publiczna” w rozdziale „Rady gmin (miast i miast na prawach powiatu)” w ramach paragrafu „Zakup usług pozostałych” zwiększa się wydatki o 1 000,00 zł do kwoty 12 800,00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usług pozostałych” zwiększa się wydatki o 200,00 zł do kwoty 13 124,46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„Urzędy naczelnych organów władzy państwowej, kontroli i ochrony prawa oraz sądownictwa” w rozdziale „Wybory do Parlamentu Europejskiego” w ramach paragrafu „Różne wydatki na rzecz osób fizycznych ” zwiększa się wydatki o 1 200,00 zł do kwoty 25 000,00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„Bezpieczeństwo publiczne i ochrona przeciwpożarowa” w rozdziale „Ochotnicze straże pożarne” w ramach paragrafu „Zakup materiałów i wyposażenia” zwiększa się wydatki o 2 500,00 zł do kwoty 41 900,00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„Bezpieczeństwo publiczne i ochrona przeciwpożarowa” w rozdziale „Pozostała działalność” w ramach paragrafu „Zakup środków żywności” zwiększa się wydatki o 180,00 zł do kwoty 980,00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„Oświata i wychowanie” w rozdziale „Szkoły podstawowe” w ramach paragrafu „Dotacja podmiotowa z budżetu dla jednostek niezaliczanych do sektora finansów publicznych” zwiększa się wydatki o 2 816,00 zł do kwoty 12 994,93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„Oświata i wychowanie” w rozdziale „Przedszkola ” w ramach paragrafu „Wpłaty na PPK finansowane przez podmiot zatrudniający” wprowadza się wydatki w kwocie 1 600,00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„Oświata i wychowanie” w rozdziale „Dowożenie uczniów do szkół” w ramach paragrafu „Zakup towarów (w szczególności materiałów, leków, żywności) w związku z pomocą obywatelom Ukrainy” zwiększa się wydatki o 750,03 zł do kwoty 4 500,00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„Oświata i wychowanie” w rozdziale „Pozostała działalność” w ramach paragrafu „Zakup towarów (w szczególności materiałów, leków, żywności) w związku z pomocą obywatelom Ukrainy” zwiększa się wydatki o 1 408,97 zł do kwoty 3 208,97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„Oświata i wychowanie” w rozdziale „Pozostała działalność” w ramach paragrafu „Wynagrodzenia i uposażenia wypłacane w związku z pomocą obywatelom Ukrainy” zwiększa się wydatki o 6 000,00 zł do kwoty 38 556,00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„Oświata i wychowanie” w rozdziale „Pozostała działalność” w ramach paragrafu „Wynagrodzenia nauczycieli wypłacane w związku z pomocą obywatelom Ukrainy” zwiększa się wydatki o 3 500,00 zł do kwoty 23 000,00 zł;</w:t>
      </w:r>
    </w:p>
    <w:p>
      <w:pPr>
        <w:pStyle w:val="P2"/>
        <w:numPr>
          <w:ilvl w:val="0"/>
          <w:numId w:val="47"/>
        </w:numPr>
        <w:rPr>
          <w:sz w:val="22"/>
        </w:rPr>
      </w:pPr>
      <w:r>
        <w:rPr>
          <w:sz w:val="22"/>
        </w:rPr>
        <w:t>w dziale „Oświata i wychowanie” w rozdziale „Pozostała działalność” w ramach paragrafu „Składki i inne pochodne od wynagrodzeń pracowników wypłacanych w związku z pomocą obywatelom Ukrainy” zwiększa się wydatki o 3 000,00 zł do kwoty 14 407,55 zł;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zmniejszeń po stronie wydatków bieżących:</w:t>
      </w:r>
    </w:p>
    <w:p>
      <w:pPr>
        <w:pStyle w:val="P2"/>
        <w:numPr>
          <w:ilvl w:val="0"/>
          <w:numId w:val="48"/>
        </w:numPr>
        <w:rPr>
          <w:sz w:val="22"/>
        </w:rPr>
      </w:pPr>
      <w:r>
        <w:rPr>
          <w:sz w:val="22"/>
        </w:rPr>
        <w:t>w dziale „Administracja publiczna” w rozdziale „Rady gmin (miast i miast na prawach powiatu)” w ramach paragrafu „Zakup materiałów i wyposażenia” zmniejsza się wydatki o 1 000,00 zł do kwoty 3 800,00 zł;</w:t>
      </w:r>
    </w:p>
    <w:p>
      <w:pPr>
        <w:pStyle w:val="P2"/>
        <w:numPr>
          <w:ilvl w:val="0"/>
          <w:numId w:val="48"/>
        </w:numPr>
        <w:rPr>
          <w:sz w:val="22"/>
        </w:rPr>
      </w:pPr>
      <w:r>
        <w:rPr>
          <w:sz w:val="22"/>
        </w:rP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materiałów i wyposażenia” zmniejsza się wydatki o 200,00 zł do kwoty 6 409,32 zł;</w:t>
      </w:r>
    </w:p>
    <w:p>
      <w:pPr>
        <w:pStyle w:val="P2"/>
        <w:numPr>
          <w:ilvl w:val="0"/>
          <w:numId w:val="48"/>
        </w:numPr>
        <w:rPr>
          <w:sz w:val="22"/>
        </w:rPr>
      </w:pPr>
      <w:r>
        <w:rPr>
          <w:sz w:val="22"/>
        </w:rPr>
        <w:t>w dziale „Bezpieczeństwo publiczne i ochrona przeciwpożarowa” w rozdziale „Ochotnicze straże pożarne” w ramach paragrafu „Zakup energii” zmniejsza się wydatki o 180,00 zł do kwoty 67 020,00 zł;</w:t>
      </w:r>
    </w:p>
    <w:p>
      <w:pPr>
        <w:pStyle w:val="P2"/>
        <w:numPr>
          <w:ilvl w:val="0"/>
          <w:numId w:val="48"/>
        </w:numPr>
        <w:rPr>
          <w:sz w:val="22"/>
        </w:rPr>
      </w:pPr>
      <w:r>
        <w:rPr>
          <w:sz w:val="22"/>
        </w:rPr>
        <w:t>w dziale „Bezpieczeństwo publiczne i ochrona przeciwpożarowa” w rozdziale „Pozostała działalność” w ramach paragrafu „Zakup usług pozostałych” zmniejsza się wydatki o 2 500,00 zł do kwoty 15 850,00 zł;</w:t>
      </w:r>
    </w:p>
    <w:p>
      <w:pPr>
        <w:pStyle w:val="P2"/>
        <w:numPr>
          <w:ilvl w:val="0"/>
          <w:numId w:val="48"/>
        </w:numPr>
        <w:rPr>
          <w:sz w:val="22"/>
        </w:rPr>
      </w:pPr>
      <w:r>
        <w:rPr>
          <w:sz w:val="22"/>
        </w:rPr>
        <w:t>w dziale „Oświata i wychowanie” w rozdziale „Przedszkola ” w ramach paragrafu „Wynagrodzenia osobowe pracowników” zmniejsza się wydatki o 1 600,00 zł do kwoty 303 010,18 zł;</w:t>
      </w:r>
    </w:p>
    <w:p>
      <w:pPr>
        <w:rPr>
          <w:sz w:val="22"/>
        </w:rPr>
      </w:pPr>
      <w:r>
        <w:rPr>
          <w:sz w:val="22"/>
        </w:rP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39 860 318,02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20 327,00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39 880 645,02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26 552 302,25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20 327,00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26 572 629,25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Administracja publiczna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3 067 361,00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1 652,00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3 069 013,00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168 269,00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1 200,00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169 469,00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13 840 335,73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17 475,00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13 857 810,73</w:t>
            </w:r>
          </w:p>
        </w:tc>
      </w:tr>
    </w:tbl>
    <w:p/>
    <w:p>
      <w:pPr>
        <w:pStyle w:val="P1"/>
        <w:rPr>
          <w:sz w:val="22"/>
        </w:rPr>
      </w:pPr>
      <w:r>
        <w:rPr>
          <w:sz w:val="22"/>
        </w:rPr>
        <w:t>PRZYCHODY</w:t>
      </w:r>
    </w:p>
    <w:p>
      <w:pPr>
        <w:pStyle w:val="P7"/>
        <w:rPr>
          <w:sz w:val="22"/>
        </w:rPr>
      </w:pPr>
      <w:r>
        <w:rPr>
          <w:sz w:val="22"/>
        </w:rPr>
        <w:t>Przychody budżetu Miasta i Gminy Górzno na rok 2024 nie uległy zmianie.</w:t>
      </w:r>
    </w:p>
    <w:p>
      <w:pPr>
        <w:pStyle w:val="P1"/>
        <w:rPr>
          <w:sz w:val="22"/>
        </w:rPr>
      </w:pPr>
      <w:r>
        <w:rPr>
          <w:sz w:val="22"/>
        </w:rPr>
        <w:t>ROZCHODY</w:t>
      </w:r>
    </w:p>
    <w:p>
      <w:pPr>
        <w:pStyle w:val="P7"/>
        <w:rPr>
          <w:sz w:val="22"/>
        </w:rPr>
      </w:pPr>
      <w:r>
        <w:rPr>
          <w:sz w:val="22"/>
        </w:rPr>
        <w:t>Rozchody budżetu Miasta i Gminy Górzno na rok 2024 nie uległy zmianie.</w:t>
      </w:r>
    </w:p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3">
    <w:nsid w:val="49D0C4E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4">
    <w:nsid w:val="699B8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5">
    <w:nsid w:val="542F534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6">
    <w:nsid w:val="286E54C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7">
    <w:nsid w:val="593ABE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8">
    <w:nsid w:val="3915839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9">
    <w:nsid w:val="0F12433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0">
    <w:nsid w:val="6724DC5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1">
    <w:nsid w:val="089B5E5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2">
    <w:nsid w:val="4DB41B4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3">
    <w:nsid w:val="45B40B1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4">
    <w:nsid w:val="10831A8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5">
    <w:nsid w:val="42A1B4B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6">
    <w:nsid w:val="63825C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7">
    <w:nsid w:val="1607436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2024-07-04T10:30:34Z</dcterms:modified>
  <cp:revision>84</cp:revision>
</cp:coreProperties>
</file>