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DD185A4" Type="http://schemas.openxmlformats.org/officeDocument/2006/relationships/officeDocument" Target="/word/document.xml" /><Relationship Id="coreR1DD185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17 października 2024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765 339,00 zł, z czego dochody bieżące zwiększono o 765 339,00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765 339,00 zł, z czego wydatki bieżące zwiększono o 765 339,00 zł, a 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nie uległ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2024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31 500 521,51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+765 339,00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32 265 860,51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25 703 469,31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+765 339,00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26 468 808,31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4 888 366,02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+765 339,00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5 653 705,02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36 300 379,00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+765 339,00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37 065 718,00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27 236 764,82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+765 339,00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0"/>
              </w:rPr>
              <w:t>28 002 103,82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9 995 822,00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+30 420,63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10 026 242,63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16 893 942,82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+734 918,37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17 628 861,19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2025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obrazuje załącznik nr 1 do niniejszego zarządzenia.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2024-10-18T11:35:28Z</dcterms:created>
  <cp:lastModifiedBy>JaroszewskaM</cp:lastModifiedBy>
  <dcterms:modified xsi:type="dcterms:W3CDTF">2024-10-18T09:35:57Z</dcterms:modified>
  <cp:revision>2</cp:revision>
  <dc:subject>w sprawie wprowadzenia zmian w Wieloletniej Prognozie Finansowej Miasta i Gminy Górzno na lata 2024-2034</dc:subject>
  <dc:title>Zarządzenie Nr 59/2024 z dnia 17 października 2024 r.</dc:title>
</cp:coreProperties>
</file>