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85A3D23" Type="http://schemas.openxmlformats.org/officeDocument/2006/relationships/officeDocument" Target="/word/document.xml" /><Relationship Id="coreR185A3D23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i w:val="0"/>
          <w:caps w:val="0"/>
          <w:sz w:val="22"/>
          <w:vertAlign w:val="baseline"/>
        </w:rPr>
        <w:t>DOCHODY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Dochody budżetu Miasta i Gminy Górzno na rok 2024 zostają zwiększone o kwotę 139,00 zł do kwoty 33 767 980,79 zł, w tym: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●dochody bieżące ulegają zwiększeniu o kwotę 139,00 zł do kwoty 27 970 928,59 zł,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●dochody majątkowe nie uległy zmianie.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>Dokonuje się następujących zwiększeń po stronie dochodów bieżących: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>Na podstawie decyzji Wojewody Kujawsko-Pomorskiego z dnia 13 grudnia 2024 r. nr WFB.I.3120.3.125.2024 zwiększa się: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●w dziale „Pomoc społeczna” w rozdziale „Zasiłki okresowe, celowe i pomoc w naturze oraz składki na ubezpieczenia emerytalne i rentowe” w ramach paragrafu „Dotacja celowa otrzymana z budżetu państwa na realizację własnych zadań bieżących gmin (związków gmin, związków powiatowo-gminnych)” zwiększa się dochody o 139,00 zł do kwoty 28 684,00 zł - </w:t>
      </w: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>z przeznaczeniem na dofinansowanie wypłat zasiłków okresowych w części gwarantowanej z budżetu państwa, zgodnie z postanowieniami art. 147 ust. 7 ustawy o pomocy społecznej, dokonuje się w oparciu o analizę danych wykazanych w miesięcznym sprawozdaniu finansowym dot. realizacji zadań z zakresu pomocy społecznej i świadczeń rodzinnych za okres styczeń-grudzień br.;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Podsumowanie zmian dochodów Miasta i Gminy Górzno przedstawia tabela poniżej.</w:t>
      </w:r>
    </w:p>
    <w:tbl>
      <w:tblPr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left w:w="108" w:type="dxa"/>
          <w:right w:w="108" w:type="dxa"/>
        </w:tblCellMar>
      </w:tblPr>
      <w:tblGrid/>
      <w:tr>
        <w:tblPrEx>
          <w:tblW w:w="5000" w:type="pct"/>
          <w:tblBorders>
            <w:top w:val="single" w:sz="4" w:space="0" w:shadow="0" w:frame="0"/>
            <w:left w:val="single" w:sz="4" w:space="0" w:shadow="0" w:frame="0"/>
            <w:bottom w:val="single" w:sz="4" w:space="0" w:shadow="0" w:frame="0"/>
            <w:right w:val="single" w:sz="4" w:space="0" w:shadow="0" w:frame="0"/>
            <w:insideH w:val="single" w:sz="4" w:space="0" w:shadow="0" w:frame="0"/>
            <w:insideV w:val="single" w:sz="4" w:space="0" w:shadow="0" w:frame="0"/>
          </w:tblBorders>
          <w:tblLayout w:type="fixed"/>
          <w:tblCellMar>
            <w:left w:w="108" w:type="dxa"/>
            <w:right w:w="108" w:type="dxa"/>
          </w:tblCellMar>
        </w:tblPrEx>
        <w:trPr/>
        <w:tc>
          <w:tcPr>
            <w:tcW w:w="5580" w:type="dxa"/>
            <w:tcBorders>
              <w:top w:val="nil" w:sz="0" w:space="0" w:shadow="0" w:frame="0"/>
              <w:left w:val="nil" w:sz="0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Wyszczególnienie</w:t>
            </w:r>
          </w:p>
        </w:tc>
        <w:tc>
          <w:tcPr>
            <w:tcW w:w="1500" w:type="dxa"/>
            <w:tcBorders>
              <w:top w:val="nil" w:sz="0" w:space="0" w:shadow="0" w:frame="0"/>
              <w:left w:val="single" w:sz="2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Przed zmianą</w:t>
            </w:r>
          </w:p>
        </w:tc>
        <w:tc>
          <w:tcPr>
            <w:tcW w:w="1500" w:type="dxa"/>
            <w:tcBorders>
              <w:top w:val="nil" w:sz="0" w:space="0" w:shadow="0" w:frame="0"/>
              <w:left w:val="single" w:sz="2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Zmiana</w:t>
            </w:r>
          </w:p>
        </w:tc>
        <w:tc>
          <w:tcPr>
            <w:tcW w:w="1500" w:type="dxa"/>
            <w:tcBorders>
              <w:top w:val="nil" w:sz="0" w:space="0" w:shadow="0" w:frame="0"/>
              <w:left w:val="single" w:sz="2" w:space="0" w:shadow="0" w:frame="0"/>
              <w:bottom w:val="single" w:sz="4" w:space="0" w:shadow="0" w:frame="0"/>
              <w:right w:val="nil" w:sz="0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Po zmianie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/>
        <w:tc>
          <w:tcPr>
            <w:tcW w:w="5580" w:type="dxa"/>
            <w:tcBorders>
              <w:top w:val="single" w:sz="2" w:space="0" w:shadow="0" w:frame="0"/>
              <w:left w:val="nil" w:sz="0" w:space="0" w:shadow="0" w:frame="0"/>
              <w:bottom w:val="single" w:sz="4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dochody ogółem: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single" w:sz="4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33 767 841,79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single" w:sz="4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139,00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single" w:sz="4" w:space="0" w:shadow="0" w:frame="0"/>
              <w:right w:val="nil" w:sz="0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33 767 980,79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/>
        <w:tc>
          <w:tcPr>
            <w:tcW w:w="5580" w:type="dxa"/>
            <w:tcBorders>
              <w:top w:val="single" w:sz="2" w:space="0" w:shadow="0" w:frame="0"/>
              <w:left w:val="nil" w:sz="0" w:space="0" w:shadow="0" w:frame="0"/>
              <w:bottom w:val="single" w:sz="4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dochody bieżące, w tym: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single" w:sz="4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27 970 789,59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single" w:sz="4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139,00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single" w:sz="4" w:space="0" w:shadow="0" w:frame="0"/>
              <w:right w:val="nil" w:sz="0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27 970 928,59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/>
        <w:tc>
          <w:tcPr>
            <w:tcW w:w="5580" w:type="dxa"/>
            <w:tcBorders>
              <w:top w:val="single" w:sz="2" w:space="0" w:shadow="0" w:frame="0"/>
              <w:left w:val="nil" w:sz="0" w:space="0" w:shadow="0" w:frame="0"/>
              <w:bottom w:val="nil" w:sz="0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Pomoc społeczna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nil" w:sz="0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730 748,99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nil" w:sz="0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139,00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nil" w:sz="0" w:space="0" w:shadow="0" w:frame="0"/>
              <w:right w:val="nil" w:sz="0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730 887,99</w:t>
            </w:r>
          </w:p>
        </w:tc>
      </w:tr>
    </w:tbl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WYDATKI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Wydatki budżetu Miasta i Gminy Górzno na rok 2024 zostają zwiększone o kwotę 139,00 zł do kwoty 37 965 428,84 zł, w tym: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●wydatki bieżące ulegają zwiększeniu o kwotę 139,00 zł do kwoty 28 846 814,66 zł,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●wydatki majątkowe nie uległy zmianie.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>Dokonuje się następujących zwiększeń po stronie wydatków bieżących: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●w dziale „Urzędy naczelnych organów władzy państwowej, kontroli i ochrony prawa oraz sądownictwa” w rozdziale „Urzędy naczelnych organów władzy państwowej, kontroli i ochrony prawa” w ramach paragrafu „Wynagrodzenia osobowe pracowników” zwiększa się wydatki o 0,98 zł do kwoty 688,56 zł;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●w dziale „Urzędy naczelnych organów władzy państwowej, kontroli i ochrony prawa oraz sądownictwa” w rozdziale „Urzędy naczelnych organów władzy państwowej, kontroli i ochrony prawa” w ramach paragrafu „Składki na Fundusz Pracy oraz Fundusz Solidarnościowy” zwiększa się wydatki o 0,03 zł do kwoty 16,87 zł;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●w dziale „Pomoc społeczna” w rozdziale „Zasiłki okresowe, celowe i pomoc w naturze oraz składki na ubezpieczenia emerytalne i rentowe” w ramach paragrafu „Świadczenia społeczne” zwiększa się wydatki o 139,00 zł do kwoty 62 384,00 zł;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●w dziale „Rodzina” w rozdziale „Rodziny zastępcze” w ramach paragrafu „Zakup usług przez jednostki samorządu terytorialnego od innych jednostek samorządu terytorialnego” zwiększa się wydatki o 205,00 zł do kwoty 15 690,32 zł;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>Dokonuje się następujących zmniejszeń po stronie wydatków bieżących: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●w dziale „Urzędy naczelnych organów władzy państwowej, kontroli i ochrony prawa oraz sądownictwa” w rozdziale „Urzędy naczelnych organów władzy państwowej, kontroli i ochrony prawa” w ramach paragrafu „Składki na ubezpieczenia społeczne” zmniejsza się wydatki o 1,01 zł do kwoty 116,57 zł;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●w dziale „Rodzina” w rozdziale „Świadczenia rodzinne, świadczenie z funduszu alimentacyjnego oraz składki na ubezpieczenia emerytalne i rentowe z ubezpieczenia społecznego ” w ramach paragrafu „Zakup usług remontowych” zmniejsza się wydatki o 205,00 zł do kwoty 1 295,00 zł;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Podsumowanie zmian wydatków Miasta i Gminy Górzno przedstawia tabela poniżej.</w:t>
      </w:r>
    </w:p>
    <w:tbl>
      <w:tblPr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left w:w="108" w:type="dxa"/>
          <w:right w:w="108" w:type="dxa"/>
        </w:tblCellMar>
      </w:tblPr>
      <w:tblGrid/>
      <w:tr>
        <w:tblPrEx>
          <w:tblW w:w="5000" w:type="pct"/>
          <w:tblBorders>
            <w:top w:val="single" w:sz="4" w:space="0" w:shadow="0" w:frame="0"/>
            <w:left w:val="single" w:sz="4" w:space="0" w:shadow="0" w:frame="0"/>
            <w:bottom w:val="single" w:sz="4" w:space="0" w:shadow="0" w:frame="0"/>
            <w:right w:val="single" w:sz="4" w:space="0" w:shadow="0" w:frame="0"/>
            <w:insideH w:val="single" w:sz="4" w:space="0" w:shadow="0" w:frame="0"/>
            <w:insideV w:val="single" w:sz="4" w:space="0" w:shadow="0" w:frame="0"/>
          </w:tblBorders>
          <w:tblLayout w:type="fixed"/>
          <w:tblCellMar>
            <w:left w:w="108" w:type="dxa"/>
            <w:right w:w="108" w:type="dxa"/>
          </w:tblCellMar>
        </w:tblPrEx>
        <w:trPr/>
        <w:tc>
          <w:tcPr>
            <w:tcW w:w="5580" w:type="dxa"/>
            <w:tcBorders>
              <w:top w:val="nil" w:sz="0" w:space="0" w:shadow="0" w:frame="0"/>
              <w:left w:val="nil" w:sz="0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Wyszczególnienie</w:t>
            </w:r>
          </w:p>
        </w:tc>
        <w:tc>
          <w:tcPr>
            <w:tcW w:w="1500" w:type="dxa"/>
            <w:tcBorders>
              <w:top w:val="nil" w:sz="0" w:space="0" w:shadow="0" w:frame="0"/>
              <w:left w:val="single" w:sz="2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Przed zmianą</w:t>
            </w:r>
          </w:p>
        </w:tc>
        <w:tc>
          <w:tcPr>
            <w:tcW w:w="1500" w:type="dxa"/>
            <w:tcBorders>
              <w:top w:val="nil" w:sz="0" w:space="0" w:shadow="0" w:frame="0"/>
              <w:left w:val="single" w:sz="2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Zmiana</w:t>
            </w:r>
          </w:p>
        </w:tc>
        <w:tc>
          <w:tcPr>
            <w:tcW w:w="1500" w:type="dxa"/>
            <w:tcBorders>
              <w:top w:val="nil" w:sz="0" w:space="0" w:shadow="0" w:frame="0"/>
              <w:left w:val="single" w:sz="2" w:space="0" w:shadow="0" w:frame="0"/>
              <w:bottom w:val="single" w:sz="2" w:space="0" w:shadow="0" w:frame="0"/>
              <w:right w:val="nil" w:sz="0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Po zmianie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/>
        <w:tc>
          <w:tcPr>
            <w:tcW w:w="5580" w:type="dxa"/>
            <w:tcBorders>
              <w:top w:val="single" w:sz="2" w:space="0" w:shadow="0" w:frame="0"/>
              <w:left w:val="nil" w:sz="0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wydatki ogółem: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37 965 289,84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139,00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single" w:sz="2" w:space="0" w:shadow="0" w:frame="0"/>
              <w:right w:val="nil" w:sz="0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37 965 428,84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/>
        <w:tc>
          <w:tcPr>
            <w:tcW w:w="5580" w:type="dxa"/>
            <w:tcBorders>
              <w:top w:val="single" w:sz="2" w:space="0" w:shadow="0" w:frame="0"/>
              <w:left w:val="nil" w:sz="0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wydatki bieżące, w tym: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28 846 675,66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139,00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single" w:sz="2" w:space="0" w:shadow="0" w:frame="0"/>
              <w:right w:val="nil" w:sz="0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28 846 814,66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/>
        <w:tc>
          <w:tcPr>
            <w:tcW w:w="5580" w:type="dxa"/>
            <w:tcBorders>
              <w:top w:val="single" w:sz="2" w:space="0" w:shadow="0" w:frame="0"/>
              <w:left w:val="nil" w:sz="0" w:space="0" w:shadow="0" w:frame="0"/>
              <w:bottom w:val="nil" w:sz="0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Pomoc społeczna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nil" w:sz="0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1 458 598,07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nil" w:sz="0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139,00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nil" w:sz="0" w:space="0" w:shadow="0" w:frame="0"/>
              <w:right w:val="nil" w:sz="0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1 458 737,07</w:t>
            </w:r>
          </w:p>
        </w:tc>
      </w:tr>
    </w:tbl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PRZYCHODY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Przychody budżetu Miasta i Gminy Górzno na rok 2024 nie uległy zmianie.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ROZCHODY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Rozchody budżetu Miasta i Gminy Górzno na rok 2024 nie uległy zmianie.</w:t>
      </w:r>
    </w:p>
    <w:sectPr>
      <w:endnotePr>
        <w:numFmt w:val="decimal"/>
      </w:endnotePr>
      <w:type w:val="nextPage"/>
      <w:pgSz w:w="11906" w:h="16838" w:code="0"/>
      <w:pgMar w:left="1020" w:right="1020" w:top="992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JaroszewskaM</dc:creator>
  <dcterms:created xsi:type="dcterms:W3CDTF">2024-12-18T09:59:33Z</dcterms:created>
  <cp:lastModifiedBy>JaroszewskaM</cp:lastModifiedBy>
  <dcterms:modified xsi:type="dcterms:W3CDTF">2024-12-18T09:00:05Z</dcterms:modified>
  <cp:revision>2</cp:revision>
  <dc:subject>w sprawie zmian w budżecie Miasta i Gminy Górzno na 2024 rok</dc:subject>
  <dc:title>Zarządzenie Nr 78/2024 z dnia 18 grudnia 2024 r.</dc:title>
</cp:coreProperties>
</file>