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27E7C1" Type="http://schemas.openxmlformats.org/officeDocument/2006/relationships/officeDocument" Target="/word/document.xml" /><Relationship Id="coreR3927E7C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4 ust.1 pkt 2 i ust.2 ustawy z dnia 20 grudnia 1996 r. o gospodarce komunalnej (Dz.U. z 2021 r. poz. 679) Rada Miejska może podjąć uchwałę dotyczącą opłat za korzystanie z obiektów użyteczności publicznej. Podjęcie uchwały w sprawie opłat za korzystanie z hali sportowej przy Zespole Szkół w Górznie wynika z konieczności podniesienia stawek opłat, gdyż poprzednia uchwała została niedoszacowana. W czasie ostatnich lat bardzo wzrosły koszty utrzymania hali, więc zachodzi konieczność podniesienia stawek opłat za korzystanie z pomieszczeń hali sportowej. W związku z poszerzającym się asortymentem urządzeń do ćwiczeń zasadne jest podniesienie stawek za korzystanie z siłowni.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należy podjąć stosowną uchwałę.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2025-02-11T12:41:24Z</dcterms:created>
  <cp:lastModifiedBy>JaroszewskaM</cp:lastModifiedBy>
  <dcterms:modified xsi:type="dcterms:W3CDTF">2025-02-21T11:23:09Z</dcterms:modified>
  <cp:revision>21</cp:revision>
  <dc:subject>w sprawie opłat za korzystanie z hali sportowej przy Zespole Szkół w Górznie</dc:subject>
  <dc:title>Uchwała z dnia 18 lutego 2025 r.</dc:title>
</cp:coreProperties>
</file>