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CCFAC1" Type="http://schemas.openxmlformats.org/officeDocument/2006/relationships/officeDocument" Target="/word/document.xml" /><Relationship Id="coreR1CCCFA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Zgodnie z ustawą z dnia 24 kwietnia 2003 r. o działalności pożytku publicznego i o wolontariacie (t.j. Dz.U. z 2024 r. poz. 1465) organ stanowiący jednostki samorządu terytorialnego uchwala po konsultacjach z organizacjami pozarządowymi oraz podmiotami wymienionymi w art. 3 ust. 3 w/w ustawy roczny program współpracy z organizacjami pozarządowymi oraz podmiotami wymienionymi w art. 3 ust. 3. W związku z tym rada miejska w/w uchwałą przyjmuje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„Program współpracy Miasta i Gminy Górzno z organizacjami pozarządowymi oraz innymi podmiotami prowadzącymi działalność pożytku publicznego na rok 2025”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jednocześnie realizując obowiązek ustawowy.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2025-02-11T13:14:32Z</dcterms:created>
  <cp:lastModifiedBy>JaroszewskaM</cp:lastModifiedBy>
  <dcterms:modified xsi:type="dcterms:W3CDTF">2025-02-21T11:26:06Z</dcterms:modified>
  <cp:revision>14</cp:revision>
  <dc:subject>w sprawie przyjęcia „Programu współpracy Miasta i Gminy Górzno z organizacjami pozarządowymi oraz innymi podmiotami prowadzącymi działalność pożytku publicznego na rok 2025</dc:subject>
  <dc:title>Uchwała z dnia 18 lutego 2025 r.</dc:title>
</cp:coreProperties>
</file>