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45933D" Type="http://schemas.openxmlformats.org/officeDocument/2006/relationships/officeDocument" Target="/word/document.xml" /><Relationship Id="coreRB4593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Ustawa z dnia 11 stycznia 2018 r. o zmianie niektórych ustaw w celu zwiększenia udziału obywateli w procesie wybierania, funkcjonowania i kontrolowania niektórych organów publicznych (Dz.U. poz.130) znowelizowała przepisy ustawy o samorządzie gminnym. Nowelizacja ww. ustawy obliguje do opracowania szczegółowych zasad wnoszenia inicjatyw obywatelskich.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Biorąc powyższe pod uwagę podjęcie niniejszej uchwały jest w pełni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2024-09-19T09:03:24Z</dcterms:created>
  <cp:lastModifiedBy>JaroszewskaM</cp:lastModifiedBy>
  <dcterms:modified xsi:type="dcterms:W3CDTF">2025-02-21T11:29:52Z</dcterms:modified>
  <cp:revision>52</cp:revision>
  <dc:subject>w sprawie obywatelskiej inicjatywy uchwałodawczej</dc:subject>
  <dc:title>Uchwała</dc:title>
</cp:coreProperties>
</file>