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7F60764" Type="http://schemas.openxmlformats.org/officeDocument/2006/relationships/officeDocument" Target="/word/document.xml" /><Relationship Id="coreR27F6076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Działka nr 218/1, obręb Szynkówko, gmina Górzno, o pow. 0,0900 ha, zapisana</w:t>
        <w:br w:type="textWrapping"/>
        <w:t>w KW TO1B/00012179/5, którą prowadzi Sąd Rejonowy w Brodnicy Wydział Ksiąg Wieczystych stanowi własność Skarbu Państwa, której dysponentem jest Krajowy Ośrodek Wsparcia Rolnictwa. Zgodnie z art. 18 ust. 2 pkt 9 lit. a ustawy z dnia 8 marca 1990 r. o samorządzie gminnym do wyłącznej właściwości rady gminy należy m.in. podejmowanie uchwał w sprawach majątkowych, przekraczających zakres zwykłego zarządu, w tym nieodpłatne nabywanie nieruchomości. Zgodnie</w:t>
        <w:br w:type="textWrapping"/>
        <w:t>z art. 24 ust. 5 pkt 1 lit. c ustawy z dnia 19 października 1991 r. o gospodarowaniu nieruchomościami rolnymi Skarbu Państwa Krajowy Ośrodek może, w drodze umowy, nieodpłatnie przekazać na własność jednostce samorządu terytorialnego nieruchomości wchodzące w skład Zasobu, na cele służące wykonywaniu zadań realizowanych przez te jednostki - pod warunkiem że jest to zgodne</w:t>
        <w:br w:type="textWrapping"/>
        <w:t>z ustaleniami miejscowego planu zagospodarowania przestrzennego, miejscowego planu rewitalizacji, ostateczną decyzją o warunkach zabudowy i zagospodarowania terenu, a w przypadku braku miejscowego planu lub ostatecznej decyzji o warunkach zabudowy i zagospodarowania terenu -</w:t>
        <w:br w:type="textWrapping"/>
        <w:t>z ustaleniami planu ogólnego gminy. Nabycie działki nr 218/1, obręb Szynkówko, pozwoli na zagospodarowanie terenu przy świetlicy wiejskiej.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przedmiotowej uchwały jest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2025-02-11T09:11:19Z</dcterms:created>
  <cp:lastModifiedBy>JaroszewskaM</cp:lastModifiedBy>
  <dcterms:modified xsi:type="dcterms:W3CDTF">2025-02-21T11:31:43Z</dcterms:modified>
  <cp:revision>16</cp:revision>
  <dc:subject>w sprawie wyrażenia zgody na nabycie nieruchomości gruntowej na rzecz Miasta i Gminy Górzno</dc:subject>
  <dc:title>Uchwała z dnia 18 lutego 2025 r.</dc:title>
</cp:coreProperties>
</file>