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51F56D" Type="http://schemas.openxmlformats.org/officeDocument/2006/relationships/officeDocument" Target="/word/document.xml" /><Relationship Id="coreR3051F5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Wyżej wymieniona uchwała stanowi jeden z elementów pakietu niezbędnych uchwał, będących podstawą dla gminnego systemu gospodarki odpadami komunalnymi, przewidzianą w ustawie o utrzymaniu czystości i porządku w gminach. Konieczność podjęcia uchwały wynika ze zmiany przepisów prawa odnoszących się do podstawy prawnej wydania powyższego aktu.                                                                                                                                  Zgodnie z art. 6 l ust. 1 ustawy z dnia 13 września 1996 r. o utrzymaniu czystości i porządku w gminach  Rada Gminy określi, biorąc pod uwagę warunki miejscowe, w drodze uchwały stanowiącej akt prawa miejscowego, termin, częstotliwość i tryb uiszczania opłaty za gospodarowanie odpadami komunalnymi, w tym wskazanie czy opłatę uiszcza się z dołu, czy z góry.                                                                                                                                                      W uchwale podjęto, że opłata będzie uiszczana z góry co ma na celu zapewnienia płynności budżetu Miasta i Gminy Górzno oraz pokrycie bieżących kosztów funkcjonowania systemu gospodarowania odpadami komunalnymi. Z uwagi na powyższe podjęcie uchwały w tym zakresie uważa się za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2025-04-29T11:39:48Z</dcterms:created>
  <cp:lastModifiedBy>JaroszewskaM</cp:lastModifiedBy>
  <dcterms:modified xsi:type="dcterms:W3CDTF">2025-04-29T09:41:04Z</dcterms:modified>
  <cp:revision>2</cp:revision>
  <dc:subject>w sprawie określenia terminu, częstotliwości i trybu uiszczania opłaty za gospodarowanie odpadami komunalnymi</dc:subject>
  <dc:title>Uchwała Nr XIV/92/2024 z dnia 29 kwietnia 2025 r.</dc:title>
</cp:coreProperties>
</file>