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F65762" Type="http://schemas.openxmlformats.org/officeDocument/2006/relationships/officeDocument" Target="/word/document.xml" /><Relationship Id="coreR53F6576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Regulamin pracy  Komisji Konkursowej opiniującej oferty na wykonanie zadań publicznych związanych z realizacją zadań Miasta i Gminy Górzno w 202</w:t>
      </w:r>
      <w:r>
        <w:rPr>
          <w:sz w:val="24"/>
          <w:lang w:val="pl-PL" w:bidi="pl-PL" w:eastAsia="pl-PL"/>
        </w:rPr>
        <w:t>5</w:t>
      </w:r>
      <w:r>
        <w:rPr>
          <w:sz w:val="24"/>
        </w:rPr>
        <w:t xml:space="preserve"> r. przez organizacje pozarządowe oraz inne podmioty prowadzące działalność pożytku publicznego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1. Członkowie Komisji konkursowej powołanej w celu zaopiniowania złożonych wniosków składają oświadczenie o związaniu lub o braku związania z pomiotami uczestniczącymi w postępowaniu o udzielenie dotacji. Wzór oświadczenia stanowi załącznik do niniejszego regulaminu.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2. Członek Komisji konkursowej może być wyłączony z udziału w postępowaniu dotyczącym danego rodzaju zadania publicznego, jeżeli zachodzą okoliczności mogące wywołać wątpliwość co do jego bezstronności. O wyłączeniu członka Komisji Konkursowej rozstrzyga Komisja konkursowa w drodze głosowania zwykłą większością głosów.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3. Komisja konkursowa rozpoczyna pracę w siedzibie Urzędu Miasta i Gminy w Górznie przy ul. Rynek 1 w terminie i miejscu określonym przez jej Przewodniczącego.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 xml:space="preserve">4. Komisja konkursowa może prowadzić prace, jeżeli w jej posiedzeniach bierze udział co najmniej 50% członków,  w tym Przewodniczący Komisji.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5. Przewodniczący kieruje pracami Komisji Konkursowej.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6. Komisja konkursowa przy rozpatrywaniu ofert bierze pod uwagę następujące kryteria: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1) możliwość realizacji zadania przez oferenta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2) przedstawienie kalkulacji kosztów realizacji zadania publicznego, w tym w odniesieniu do zakresu rzeczowego zadania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3) proponowana jakość wykonania zadania i kwalifikacje osób, przy udziale których oferent będzie realizować zadanie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4) uwzględnienie wkładu rzeczowego, osobowego, w tym świadczeń wolontariuszy i pracy społecznej członków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7.Zakres działań Komisji konkursowej obejmuje: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1) ustalenie liczby ofert,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2) odrzucenie ofert niespełniających kryteria formalne,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 xml:space="preserve">3) analizę poszczególnych ofert, 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4) ostateczną ocenę ofert poprzez nadanie punktacji przez każdego członka komisji dla każdej oferty oddzielnie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 xml:space="preserve">5)dokonanie wyboru najkorzystniejszych ofert (ofert z najwyższą ilością punktów) wraz z podaniem uzasadnienia i  proponowanej kwoty dofinansowania, poprzez zsumowanie punktacji każdego członka komisji i nadanie średniej liczby punktów każdej ofercie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6) przekazanie Burmistrzowi Miasta i Gminy propozycji wyboru ofert na poszczególne zadania publiczne w formie protokołu.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 xml:space="preserve">8. Przy ocenie ofert komisja konkursowa będzie oceniała wg: 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I. Kryteriów formalnych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1) Oferta złożona przez uprawniony podmiot (TAK/NIE)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2) Oferta złożona na właściwym druku (TAK/NIE)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3) Oferta złożona w terminie (TAK/NIE)</w:t>
      </w:r>
    </w:p>
    <w:p>
      <w:pPr>
        <w:spacing w:lineRule="auto" w:line="360" w:after="0" w:beforeAutospacing="0" w:afterAutospacing="0"/>
        <w:rPr>
          <w:b w:val="1"/>
          <w:sz w:val="8"/>
        </w:rPr>
      </w:pPr>
    </w:p>
    <w:p>
      <w:pPr>
        <w:pStyle w:val="P4"/>
        <w:spacing w:lineRule="auto" w:line="360" w:beforeAutospacing="0" w:afterAutospacing="0"/>
      </w:pPr>
      <w:r>
        <w:rPr>
          <w:sz w:val="24"/>
        </w:rPr>
        <w:t>Jeżeli w którymkolwiek z powyższych punktów wpisano „NIE”, oferta nie podlega dalszej ocenie</w:t>
      </w:r>
    </w:p>
    <w:p>
      <w:pPr>
        <w:pStyle w:val="P4"/>
        <w:spacing w:lineRule="auto" w:line="360" w:beforeAutospacing="0" w:afterAutospacing="0"/>
        <w:rPr>
          <w:sz w:val="24"/>
        </w:rPr>
      </w:pPr>
      <w:r>
        <w:rPr>
          <w:sz w:val="24"/>
        </w:rPr>
        <w:t>II. Kryteriów merytorycznych</w:t>
      </w:r>
    </w:p>
    <w:p>
      <w:pPr>
        <w:pStyle w:val="P4"/>
        <w:spacing w:lineRule="auto" w:line="360" w:beforeAutospacing="0" w:afterAutospacing="0"/>
        <w:rPr>
          <w:sz w:val="24"/>
        </w:rPr>
      </w:pPr>
      <w:r>
        <w:rPr>
          <w:sz w:val="24"/>
        </w:rPr>
        <w:t>1) Możliwość realizacji zadania publicznego przez oferenta (0-10 pkt.)</w:t>
      </w:r>
    </w:p>
    <w:p>
      <w:pPr>
        <w:pStyle w:val="P4"/>
        <w:spacing w:lineRule="auto" w:line="360" w:beforeAutospacing="0" w:afterAutospacing="0"/>
        <w:rPr>
          <w:sz w:val="24"/>
        </w:rPr>
      </w:pPr>
      <w:r>
        <w:rPr>
          <w:sz w:val="24"/>
        </w:rPr>
        <w:t xml:space="preserve"> (w tym potencjał organizacyjny oferenta, doświadczenie oferenta)</w:t>
      </w:r>
    </w:p>
    <w:p>
      <w:pPr>
        <w:pStyle w:val="P4"/>
        <w:spacing w:lineRule="auto" w:line="360" w:beforeAutospacing="0" w:afterAutospacing="0"/>
        <w:rPr>
          <w:sz w:val="24"/>
        </w:rPr>
      </w:pPr>
      <w:r>
        <w:rPr>
          <w:sz w:val="24"/>
        </w:rPr>
        <w:t>2) Przedstawiona kalkulacja kosztów realizacji zadania publicznego, w tym w odniesieniu do zakresu rzeczowego zadania (0-20 pkt.)</w:t>
      </w:r>
    </w:p>
    <w:p>
      <w:pPr>
        <w:pStyle w:val="P4"/>
        <w:spacing w:lineRule="auto" w:line="360" w:beforeAutospacing="0" w:afterAutospacing="0"/>
        <w:rPr>
          <w:sz w:val="24"/>
        </w:rPr>
      </w:pPr>
      <w:r>
        <w:rPr>
          <w:sz w:val="24"/>
        </w:rPr>
        <w:t>(w tym: przejrzysta konstrukcja kosztorysu, adekwatność kosztów do założonych działań; ocena wysokości wydatków)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3) Proponowana jakość wykonania zadania i kwalifikacje osób, przy udziale których oferent będzie realizować zadanie (0-20 pkt.)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(w tym: uzasadnienie potrzeby realizacji projektu; określenie konkretnych i realistycznych celów, efektów i rezultatów działań; ocena czy zaproponowane działania są odpowiednie, praktyczne, bezpośrednio związane z celami i rezultatami projektu; spójność, realność oraz szczegółowość opisu działań; realność realizacji działań przy zaproponowanym harmonogramie; odpowiednie kwalifikacje i doświadczenie osób wskazanych jako Zasoby kadrowe przewidywane do realizacji zadania publicznego w formularzu ofertowym; zgodność działań z opisem grup adresatów</w:t>
      </w:r>
    </w:p>
    <w:p>
      <w:pPr>
        <w:spacing w:lineRule="auto" w:line="360" w:after="0" w:beforeAutospacing="0" w:afterAutospacing="0"/>
        <w:rPr>
          <w:color w:val="auto"/>
        </w:rPr>
      </w:pPr>
      <w:r>
        <w:rPr>
          <w:sz w:val="24"/>
        </w:rPr>
        <w:t>4) Uwzględnienie wkładu rzeczowego, osobowego, w tym świadczeń wolontariuszy i pracy społecznej członków (0-10 pkt.)</w:t>
      </w:r>
      <w:r>
        <w:rPr>
          <w:color w:val="auto"/>
        </w:rPr>
        <w:t xml:space="preserve">     </w:t>
      </w:r>
    </w:p>
    <w:p>
      <w:pPr>
        <w:spacing w:lineRule="auto" w:line="240" w:after="0" w:beforeAutospacing="0" w:afterAutospacing="0"/>
        <w:jc w:val="both"/>
        <w:rPr>
          <w:sz w:val="24"/>
        </w:rPr>
      </w:pPr>
    </w:p>
    <w:sectPr>
      <w:type w:val="nextPage"/>
      <w:pgSz w:w="11906" w:h="16838" w:code="0"/>
      <w:pgMar w:left="1417" w:right="1417" w:top="709" w:bottom="98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ar-SA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sz w:val="22"/>
      <w:lang w:eastAsia="en-US"/>
    </w:rPr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240" w:after="0" w:beforeAutospacing="0" w:afterAutospacing="0"/>
      <w:outlineLvl w:val="0"/>
    </w:pPr>
    <w:rPr>
      <w:color w:val="2F5496" w:themeColor="accent1" w:themeShade="BF"/>
      <w:sz w:val="32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40" w:after="0" w:beforeAutospacing="0" w:afterAutospacing="0"/>
      <w:outlineLvl w:val="1"/>
    </w:pPr>
    <w:rPr>
      <w:color w:val="2F5496" w:themeColor="accent1" w:themeShade="BF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40" w:after="0" w:beforeAutospacing="0" w:afterAutospacing="0"/>
      <w:outlineLvl w:val="2"/>
    </w:pPr>
    <w:rPr>
      <w:color w:val="203864" w:themeColor="accent1" w:themeShade="7F"/>
      <w:sz w:val="24"/>
    </w:rPr>
  </w:style>
  <w:style w:type="paragraph" w:styleId="P4">
    <w:name w:val="No Spacing"/>
    <w:qFormat/>
    <w:pPr/>
    <w:rPr>
      <w:sz w:val="22"/>
      <w:lang w:eastAsia="en-US"/>
    </w:rPr>
  </w:style>
  <w:style w:type="paragraph" w:styleId="P5">
    <w:name w:val="Default"/>
    <w:pPr>
      <w:suppressAutoHyphens w:val="1"/>
    </w:pPr>
    <w:rPr>
      <w:rFonts w:ascii="Times New Roman" w:hAnsi="Times New Roman"/>
      <w:color w:val="000000"/>
      <w:sz w:val="24"/>
      <w:lang w:eastAsia="zh-C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Tekst treści (2) + 9 pt"/>
    <w:rPr>
      <w:rFonts w:ascii="Arial" w:hAnsi="Arial"/>
      <w:color w:val="000000"/>
      <w:sz w:val="18"/>
      <w:shd w:val="clear" w:color="auto" w:fill="FFFFFF"/>
      <w:lang w:val="pl-PL" w:bidi="pl-PL" w:eastAsia="pl-PL"/>
    </w:rPr>
  </w:style>
  <w:style w:type="character" w:styleId="C4">
    <w:name w:val="Nagłówek 1 Znak"/>
    <w:basedOn w:val="C0"/>
    <w:link w:val="P1"/>
    <w:rPr>
      <w:color w:val="2F5496" w:themeColor="accent1" w:themeShade="BF"/>
      <w:sz w:val="32"/>
    </w:rPr>
  </w:style>
  <w:style w:type="character" w:styleId="C5">
    <w:name w:val="Nagłówek 2 Znak"/>
    <w:basedOn w:val="C0"/>
    <w:link w:val="P2"/>
    <w:rPr>
      <w:color w:val="2F5496" w:themeColor="accent1" w:themeShade="BF"/>
      <w:sz w:val="26"/>
    </w:rPr>
  </w:style>
  <w:style w:type="character" w:styleId="C6">
    <w:name w:val="Nagłówek 3 Znak"/>
    <w:basedOn w:val="C0"/>
    <w:link w:val="P3"/>
    <w:rPr>
      <w:color w:val="203864" w:themeColor="accent1" w:themeShade="7F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Your User Name</dc:creator>
  <dcterms:created xsi:type="dcterms:W3CDTF">2024-06-05T13:14:00Z</dcterms:created>
  <cp:lastModifiedBy>Krystyna Jankowska</cp:lastModifiedBy>
  <cp:lastPrinted>2020-05-06T07:17:00Z</cp:lastPrinted>
  <dcterms:modified xsi:type="dcterms:W3CDTF">2025-06-09T09:46:38Z</dcterms:modified>
  <cp:revision>26</cp:revision>
</cp:coreProperties>
</file>