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9CB4883" Type="http://schemas.openxmlformats.org/officeDocument/2006/relationships/officeDocument" Target="/word/document.xml" /><Relationship Id="coreR59CB488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Ustawą z dnia 11 stycznia 2018 r. o zmianie niektórych ustaw w celu zwiększenia udziału obywateli w procesie wybierania, funkcjonowania i kontrolowania niektórych organów publicznych wprowadzono do ustawy o samorządzie gminnym nowy przepis art. 28 aa. Przepis ten dotyczy obowiązku przedstawienia radzie w terminie do 31 maja danego roku raportu o stanie gminy. Rada Gminy raport rozpatruje podczas sesji absolutoryjnej.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Nad przedstawionym raportem o stanie gminy przeprowadza się debatę. W debacie mogą również zabrać głos mieszkańcy. Po zakończeniu debaty rada gminy przeprowadza głosowanie nad udzieleniem burmistrzowi wotum zaufania.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Uchwałę podejmuje się bezwzględną większością głosów ustawowego składu rady gminy.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2024-07-03T07:36:19Z</dcterms:created>
  <cp:lastModifiedBy>JaroszewskaM</cp:lastModifiedBy>
  <dcterms:modified xsi:type="dcterms:W3CDTF">2025-06-20T08:46:06Z</dcterms:modified>
  <cp:revision>15</cp:revision>
  <dc:subject>w sprawie udzielenia Burmistrzowi Miasta i Gminy Górzno wotum zaufania</dc:subject>
  <dc:title>Uchwała Nr IV/17/2024 z dnia 28 czerwca 2024 r.</dc:title>
</cp:coreProperties>
</file>