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BB9B8D6" Type="http://schemas.openxmlformats.org/officeDocument/2006/relationships/officeDocument" Target="/word/document.xml" /><Relationship Id="coreR5BB9B8D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Art. 18 ust. 2 pkt. 4 ustawy z dnia 8 marca 1990 roku o samorządzie gminnym (t.j. Dz. U. z 2024 r.,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t>poz.1465, poz.1572, poz.1907,</w:t>
      </w:r>
      <w:r>
        <w:rPr>
          <w:lang w:val="pl-PL" w:bidi="pl-PL" w:eastAsia="pl-PL"/>
        </w:rPr>
        <w:t xml:space="preserve"> </w:t>
      </w:r>
      <w:r>
        <w:t>poz.1940</w:t>
      </w:r>
      <w:r>
        <w:rPr>
          <w:rFonts w:ascii="Times New Roman" w:hAnsi="Times New Roman"/>
          <w:b w:val="0"/>
          <w:caps w:val="0"/>
          <w:sz w:val="22"/>
        </w:rPr>
        <w:t>) daje delegację organowi stanowiącemu jednostki samorządu terytorialnego do rozpatrzenia sprawozdania z wykonania budżetu i podjęcia uchwały w sprawie absolutorium z tego tytułu.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kolei art. 271 ust.1 ustawy z dnia 27 sierpnia 2009 r. o finansach publicznych (</w:t>
      </w:r>
      <w:r>
        <w:t>t.j. Dz. U. z 2024 r. poz. 1530, 1572, 1717, 1756, 1907, z 2025 r. poz. 39</w:t>
      </w:r>
      <w:r>
        <w:rPr>
          <w:rFonts w:ascii="Times New Roman" w:hAnsi="Times New Roman"/>
          <w:b w:val="0"/>
          <w:caps w:val="0"/>
          <w:sz w:val="22"/>
        </w:rPr>
        <w:t>) stanowi, że nie później niż do 30 czerwca roku następującego po roku budżetowym, organ stanowiący jednostki samorządu terytorialnego podejmuje uchwałę w sprawie absolutorium, po zapoznaniu się z: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1)</w:t>
        <w:tab/>
        <w:t>Sprawozdaniem z wykonania budżetu jednostki samorządu terytorialnego,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2)</w:t>
        <w:tab/>
        <w:t>Sprawozdaniem finansowym,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3)</w:t>
        <w:tab/>
        <w:t>Opinią Regionalnej Izby Obrachunkowej, zgodnie z art. 270 ust. 2 ustawy,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4)</w:t>
        <w:tab/>
        <w:t>Informacją o stanie mienia jednostki samorządu terytorialnego,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5)</w:t>
        <w:tab/>
        <w:t>Stanowiskiem Komisji Rewizyjnej.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2024-07-03T07:38:55Z</dcterms:created>
  <cp:lastModifiedBy>JaroszewskaM</cp:lastModifiedBy>
  <dcterms:modified xsi:type="dcterms:W3CDTF">2025-06-20T08:50:02Z</dcterms:modified>
  <cp:revision>20</cp:revision>
  <dc:subject>w sprawie udzielenia Burmistrzowi Miasta i Gminy Górzno absolutorium z tytułu wykonania budżetu Miasta i Gminy za 2023 rok</dc:subject>
  <dc:title>Uchwała Nr IV/19/2024 z dnia 28 czerwca 2024 r.</dc:title>
</cp:coreProperties>
</file>