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564A5B1E" Type="http://schemas.openxmlformats.org/officeDocument/2006/relationships/officeDocument" Target="/word/document.xml" /><Relationship Id="coreR564A5B1E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/>
    <w:p>
      <w:pPr>
        <w:keepNext w:val="0"/>
        <w:keepLines w:val="0"/>
        <w:ind w:firstLine="0" w:left="0" w:right="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b w:val="1"/>
          <w:caps w:val="0"/>
          <w:sz w:val="22"/>
        </w:rPr>
        <w:t>Uzasadnienie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Zgodnie ze zmianami w budżecie na dzień 24 listopada 2025 r., dokonano następujących zmian w Wieloletniej Prognozie Finansowej Miasta i Gminy Górzno: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1.Dochody ogółem zwiększono o 1 436 823,97 zł, z czego dochody bieżące zwiększono o 970 086,97 zł, a dochody majątkowe zwiększono o 466 737,00 zł.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2.Wydatki ogółem zwiększono o 1 084 926,78 zł, z czego wydatki bieżące zwiększono o 929 926,78 zł, a wydatki majątkowe zwiększono o 155 000,00 zł.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3.Wynik budżetu jest deficytowy i po zmianach wynosi -2 097 516,07 zł.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Szczegółowe informacje na temat zmian w zakresie dochodów, wydatków i wyniku budżetu w roku budżetowym przedstawiono w tabeli poniżej.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1"/>
          <w:i w:val="0"/>
          <w:caps w:val="0"/>
          <w:sz w:val="22"/>
          <w:vertAlign w:val="baseline"/>
        </w:rPr>
        <w:t>Zmiany w dochodach i wydatkach w 2025 roku</w:t>
      </w:r>
    </w:p>
    <w:tbl>
      <w:tblPr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fixed"/>
        <w:tblCellMar>
          <w:left w:w="108" w:type="dxa"/>
          <w:right w:w="108" w:type="dxa"/>
        </w:tblCellMar>
      </w:tblPr>
      <w:tblGrid/>
      <w:tr>
        <w:tblPrEx>
          <w:tblW w:w="5000" w:type="pct"/>
          <w:tblBorders>
            <w:top w:val="single" w:sz="4" w:space="0" w:shadow="0" w:frame="0"/>
            <w:left w:val="single" w:sz="4" w:space="0" w:shadow="0" w:frame="0"/>
            <w:bottom w:val="single" w:sz="4" w:space="0" w:shadow="0" w:frame="0"/>
            <w:right w:val="single" w:sz="4" w:space="0" w:shadow="0" w:frame="0"/>
            <w:insideH w:val="single" w:sz="4" w:space="0" w:shadow="0" w:frame="0"/>
            <w:insideV w:val="single" w:sz="4" w:space="0" w:shadow="0" w:fram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53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</w:rPr>
              <w:t>Wyszczególnienie</w:t>
            </w:r>
          </w:p>
        </w:tc>
        <w:tc>
          <w:tcPr>
            <w:tcW w:w="253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</w:rPr>
              <w:t>Przed zmianą [zł]</w:t>
            </w:r>
          </w:p>
        </w:tc>
        <w:tc>
          <w:tcPr>
            <w:tcW w:w="253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</w:rPr>
              <w:t>Zmiana [zł]</w:t>
            </w:r>
          </w:p>
        </w:tc>
        <w:tc>
          <w:tcPr>
            <w:tcW w:w="247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</w:rPr>
              <w:t>Po zmianie [zł]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c>
          <w:tcPr>
            <w:tcW w:w="253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</w:rPr>
              <w:t>Dochody ogółem</w:t>
            </w:r>
          </w:p>
        </w:tc>
        <w:tc>
          <w:tcPr>
            <w:tcW w:w="253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</w:rPr>
              <w:t>41 955 838,54</w:t>
            </w:r>
          </w:p>
        </w:tc>
        <w:tc>
          <w:tcPr>
            <w:tcW w:w="253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</w:rPr>
              <w:t>+1 436 823,97</w:t>
            </w:r>
          </w:p>
        </w:tc>
        <w:tc>
          <w:tcPr>
            <w:tcW w:w="247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</w:rPr>
              <w:t>43 392 662,51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c>
          <w:tcPr>
            <w:tcW w:w="253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</w:rPr>
              <w:t>Dochody bieżące</w:t>
            </w:r>
          </w:p>
        </w:tc>
        <w:tc>
          <w:tcPr>
            <w:tcW w:w="253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</w:rPr>
              <w:t>31 631 448,94</w:t>
            </w:r>
          </w:p>
        </w:tc>
        <w:tc>
          <w:tcPr>
            <w:tcW w:w="253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</w:rPr>
              <w:t>+970 086,97</w:t>
            </w:r>
          </w:p>
        </w:tc>
        <w:tc>
          <w:tcPr>
            <w:tcW w:w="247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</w:rPr>
              <w:t>32 601 535,91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c>
          <w:tcPr>
            <w:tcW w:w="253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Dotacje bieżące</w:t>
            </w:r>
          </w:p>
        </w:tc>
        <w:tc>
          <w:tcPr>
            <w:tcW w:w="253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3 865 012,03</w:t>
            </w:r>
          </w:p>
        </w:tc>
        <w:tc>
          <w:tcPr>
            <w:tcW w:w="253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+771 864,06</w:t>
            </w:r>
          </w:p>
        </w:tc>
        <w:tc>
          <w:tcPr>
            <w:tcW w:w="247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4 636 876,09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c>
          <w:tcPr>
            <w:tcW w:w="253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Pozostałe</w:t>
            </w:r>
          </w:p>
        </w:tc>
        <w:tc>
          <w:tcPr>
            <w:tcW w:w="253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7 049 682,91</w:t>
            </w:r>
          </w:p>
        </w:tc>
        <w:tc>
          <w:tcPr>
            <w:tcW w:w="253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+198 222,91</w:t>
            </w:r>
          </w:p>
        </w:tc>
        <w:tc>
          <w:tcPr>
            <w:tcW w:w="247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7 247 905,82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c>
          <w:tcPr>
            <w:tcW w:w="253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</w:rPr>
              <w:t>Dochody majątkowe</w:t>
            </w:r>
          </w:p>
        </w:tc>
        <w:tc>
          <w:tcPr>
            <w:tcW w:w="253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</w:rPr>
              <w:t>10 324 389,60</w:t>
            </w:r>
          </w:p>
        </w:tc>
        <w:tc>
          <w:tcPr>
            <w:tcW w:w="253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</w:rPr>
              <w:t>+466 737,00</w:t>
            </w:r>
          </w:p>
        </w:tc>
        <w:tc>
          <w:tcPr>
            <w:tcW w:w="247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</w:rPr>
              <w:t>10 791 126,60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c>
          <w:tcPr>
            <w:tcW w:w="253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</w:rPr>
              <w:t>Wydatki ogółem</w:t>
            </w:r>
          </w:p>
        </w:tc>
        <w:tc>
          <w:tcPr>
            <w:tcW w:w="253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</w:rPr>
              <w:t>44 405 251,80</w:t>
            </w:r>
          </w:p>
        </w:tc>
        <w:tc>
          <w:tcPr>
            <w:tcW w:w="253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</w:rPr>
              <w:t>+1 084 926,78</w:t>
            </w:r>
          </w:p>
        </w:tc>
        <w:tc>
          <w:tcPr>
            <w:tcW w:w="247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</w:rPr>
              <w:t>45 490 178,58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c>
          <w:tcPr>
            <w:tcW w:w="253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</w:rPr>
              <w:t>Wydatki bieżące</w:t>
            </w:r>
          </w:p>
        </w:tc>
        <w:tc>
          <w:tcPr>
            <w:tcW w:w="253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</w:rPr>
              <w:t>30 070 410,70</w:t>
            </w:r>
          </w:p>
        </w:tc>
        <w:tc>
          <w:tcPr>
            <w:tcW w:w="253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</w:rPr>
              <w:t>+929 926,78</w:t>
            </w:r>
          </w:p>
        </w:tc>
        <w:tc>
          <w:tcPr>
            <w:tcW w:w="247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</w:rPr>
              <w:t>31 000 337,48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c>
          <w:tcPr>
            <w:tcW w:w="253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Wynagrodzenia i pochodne</w:t>
            </w:r>
          </w:p>
        </w:tc>
        <w:tc>
          <w:tcPr>
            <w:tcW w:w="253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10 925 179,81</w:t>
            </w:r>
          </w:p>
        </w:tc>
        <w:tc>
          <w:tcPr>
            <w:tcW w:w="253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+80 195,24</w:t>
            </w:r>
          </w:p>
        </w:tc>
        <w:tc>
          <w:tcPr>
            <w:tcW w:w="247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11 005 375,05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c>
          <w:tcPr>
            <w:tcW w:w="253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Pozostałe wydatki bieżące</w:t>
            </w:r>
          </w:p>
        </w:tc>
        <w:tc>
          <w:tcPr>
            <w:tcW w:w="253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18 770 230,89</w:t>
            </w:r>
          </w:p>
        </w:tc>
        <w:tc>
          <w:tcPr>
            <w:tcW w:w="253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+849 731,54</w:t>
            </w:r>
          </w:p>
        </w:tc>
        <w:tc>
          <w:tcPr>
            <w:tcW w:w="247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19 619 962,43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c>
          <w:tcPr>
            <w:tcW w:w="253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</w:rPr>
              <w:t>Wydatki majątkowe</w:t>
            </w:r>
          </w:p>
        </w:tc>
        <w:tc>
          <w:tcPr>
            <w:tcW w:w="253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</w:rPr>
              <w:t>14 334 841,10</w:t>
            </w:r>
          </w:p>
        </w:tc>
        <w:tc>
          <w:tcPr>
            <w:tcW w:w="253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</w:rPr>
              <w:t>+155 000,00</w:t>
            </w:r>
          </w:p>
        </w:tc>
        <w:tc>
          <w:tcPr>
            <w:tcW w:w="247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</w:rPr>
              <w:t>14 489 841,10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c>
          <w:tcPr>
            <w:tcW w:w="253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</w:rPr>
              <w:t>Wynik budżetu</w:t>
            </w:r>
          </w:p>
        </w:tc>
        <w:tc>
          <w:tcPr>
            <w:tcW w:w="253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</w:rPr>
              <w:t>-2 449 413,26</w:t>
            </w:r>
          </w:p>
        </w:tc>
        <w:tc>
          <w:tcPr>
            <w:tcW w:w="253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</w:rPr>
              <w:t>+351 897,19</w:t>
            </w:r>
          </w:p>
        </w:tc>
        <w:tc>
          <w:tcPr>
            <w:tcW w:w="247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</w:rPr>
              <w:t>-2 097 516,07</w:t>
            </w:r>
          </w:p>
        </w:tc>
      </w:tr>
    </w:tbl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Wieloletniej Prognozie Finansowej Miasta i Gminy Górzno: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1.Przychody ogółem w roku budżetowym zmniejszono o 351 897,19 zł i po zmianach wynoszą 2 700 817,08 zł.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2.Rozchody ogółem w roku budżetowym nie uległy zmianie.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Szczegółowe informacje na temat zmian w zakresie przychodów i rozchodów w roku budżetowym przedstawiono w tabeli poniżej.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1"/>
          <w:i w:val="0"/>
          <w:caps w:val="0"/>
          <w:strike w:val="0"/>
          <w:color w:val="000000"/>
          <w:sz w:val="22"/>
          <w:u w:val="none" w:color="000000"/>
          <w:vertAlign w:val="baseline"/>
        </w:rPr>
        <w:t>Zmiany w przychodach i rozchodach na 2025 rok.</w:t>
      </w:r>
    </w:p>
    <w:tbl>
      <w:tblPr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fixed"/>
        <w:tblCellMar>
          <w:left w:w="108" w:type="dxa"/>
          <w:right w:w="108" w:type="dxa"/>
        </w:tblCellMar>
      </w:tblPr>
      <w:tblGrid/>
      <w:tr>
        <w:tblPrEx>
          <w:tblW w:w="5000" w:type="pct"/>
          <w:tblBorders>
            <w:top w:val="single" w:sz="4" w:space="0" w:shadow="0" w:frame="0"/>
            <w:left w:val="single" w:sz="4" w:space="0" w:shadow="0" w:frame="0"/>
            <w:bottom w:val="single" w:sz="4" w:space="0" w:shadow="0" w:frame="0"/>
            <w:right w:val="single" w:sz="4" w:space="0" w:shadow="0" w:frame="0"/>
            <w:insideH w:val="single" w:sz="4" w:space="0" w:shadow="0" w:frame="0"/>
            <w:insideV w:val="single" w:sz="4" w:space="0" w:shadow="0" w:fram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53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</w:rPr>
              <w:t>Wyszczególnienie</w:t>
            </w:r>
          </w:p>
        </w:tc>
        <w:tc>
          <w:tcPr>
            <w:tcW w:w="253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</w:rPr>
              <w:t>Przed zmianą [zł]</w:t>
            </w:r>
          </w:p>
        </w:tc>
        <w:tc>
          <w:tcPr>
            <w:tcW w:w="253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</w:rPr>
              <w:t>Zmiana [zł]</w:t>
            </w:r>
          </w:p>
        </w:tc>
        <w:tc>
          <w:tcPr>
            <w:tcW w:w="247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</w:rPr>
              <w:t>Po zmianie [zł]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c>
          <w:tcPr>
            <w:tcW w:w="253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</w:rPr>
              <w:t>Przychody budżetu</w:t>
            </w:r>
          </w:p>
        </w:tc>
        <w:tc>
          <w:tcPr>
            <w:tcW w:w="253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</w:rPr>
              <w:t>3 052 714,27</w:t>
            </w:r>
          </w:p>
        </w:tc>
        <w:tc>
          <w:tcPr>
            <w:tcW w:w="253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</w:rPr>
              <w:t>-351 897,19</w:t>
            </w:r>
          </w:p>
        </w:tc>
        <w:tc>
          <w:tcPr>
            <w:tcW w:w="247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</w:rPr>
              <w:t>2 700 817,08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c>
          <w:tcPr>
            <w:tcW w:w="253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Wolne środki</w:t>
            </w:r>
          </w:p>
        </w:tc>
        <w:tc>
          <w:tcPr>
            <w:tcW w:w="253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2 717 442,61</w:t>
            </w:r>
          </w:p>
        </w:tc>
        <w:tc>
          <w:tcPr>
            <w:tcW w:w="253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-351 897,19</w:t>
            </w:r>
          </w:p>
        </w:tc>
        <w:tc>
          <w:tcPr>
            <w:tcW w:w="247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2 365 545,42</w:t>
            </w:r>
          </w:p>
        </w:tc>
      </w:tr>
    </w:tbl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 2026 nie dokonywano zmian w zakresie planowanych przychodów.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 2026 nie dokonywano zmian w zakresie planowanych rozchodów.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Zmiana Wieloletniej Prognozy Finansowej Miasta i Gminy Górzno obejmuje również zmiany w załączniku nr 2, które szczegółowo opisano poniżej.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załącznika przedsięwzięć dodano następujące przedsięwzięcia: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1.Świadczenie usług z zakresu psychologii na potrzeby "Dziennego Domu Pomocy w Górznie"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2.Opracowanie Gminnego Programu Rewitalizacji dla Miasta i Gminy Górzno na lata 2026-2032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3.Opracowanie Planu Ogólnego Miasta i Gminy Górzno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4.Przebudowa i nadbudowa budynku remizy Ochotniczej Straży Pożarnej w Górznie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5.Infrastruktura przedszkolna w Mieście i Gminie Górzno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6.Opracowanie Strategii Rozwoju Miasta i Gminy Górzno na lata 2026-2032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7.Rozbudowa drogi powiatowej Nr 1837C na odcinku ulic: Nowe Osiedle, Freta, Kościelna, Rynek, Kościuszki, 11 Listopada, 3 Maja w msc. Górzno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Dokonano zmian w zakresie następujących przedsięwzięć: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1.Cyberbezpieczny Samorząd;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2.Opracowanie miejscowego planu zagospodarowania przestrzennego dla części m.Górzno;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3.Opracowanie miejscowego planu zagospodarowania przestrzennego dla części m.Górzno-Wybudowanie;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Wartości wykazane w pozostałych pozycjach WPF, stanowią informacje uzupełniające względem pozycji opisanych powyżej. Zostały przedstawione w WPF zgodnie z obowiązującym stanem faktycznym, na podstawie zawartych umów i porozumień.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Pełen zakres zmian obrazują załączniki nr 1 i 2 do niniejszej uchwały.</w:t>
      </w:r>
    </w:p>
    <w:sectPr>
      <w:endnotePr>
        <w:numFmt w:val="decimal"/>
      </w:endnotePr>
      <w:type w:val="nextPage"/>
      <w:pgSz w:w="11906" w:h="16838" w:code="0"/>
      <w:pgMar w:left="1020" w:right="1020" w:top="992" w:bottom="992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pl-PL" w:bidi="pl-PL" w:eastAsia="pl-PL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jc w:val="both"/>
    </w:pPr>
    <w:rPr>
      <w:rFonts w:ascii="Times New Roman" w:hAnsi="Times New Roman"/>
      <w:sz w:val="22"/>
      <w:lang w:val="pl-PL" w:bidi="pl-PL" w:eastAsia="pl-PL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rPr>
      <w:lang w:val="pl-PL" w:bidi="pl-PL"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category>Akt prawny</cp:category>
  <dc:creator>JaroszewskaM</dc:creator>
  <dcterms:created xsi:type="dcterms:W3CDTF">2025-11-19T08:18:11Z</dcterms:created>
  <cp:lastModifiedBy>JaroszewskaM</cp:lastModifiedBy>
  <dcterms:modified xsi:type="dcterms:W3CDTF">2025-11-24T11:20:13Z</dcterms:modified>
  <cp:revision>6</cp:revision>
  <dc:subject>w sprawie zmiany Wieloletniej Prognozy Finansowej Miasta i Gminy Górzno na lata 2025-2034</dc:subject>
  <dc:title>Uchwała Nr XIX/122/2025 z dnia 24 listopada 2025 r.</dc:title>
</cp:coreProperties>
</file>