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D021CE2" Type="http://schemas.openxmlformats.org/officeDocument/2006/relationships/officeDocument" Target="/word/document.xml" /><Relationship Id="coreR1D021CE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b w:val="1"/>
          <w:sz w:val="22"/>
        </w:rPr>
      </w:pPr>
    </w:p>
    <w:p>
      <w:pPr>
        <w:pStyle w:val="P1"/>
        <w:jc w:val="center"/>
        <w:rPr>
          <w:b w:val="1"/>
          <w:sz w:val="22"/>
        </w:rPr>
      </w:pPr>
    </w:p>
    <w:p>
      <w:pPr>
        <w:pStyle w:val="P1"/>
        <w:jc w:val="center"/>
        <w:rPr>
          <w:b w:val="1"/>
          <w:sz w:val="22"/>
        </w:rPr>
      </w:pPr>
    </w:p>
    <w:p>
      <w:pPr>
        <w:pStyle w:val="P1"/>
        <w:jc w:val="center"/>
        <w:rPr>
          <w:b w:val="1"/>
          <w:sz w:val="22"/>
        </w:rPr>
      </w:pPr>
    </w:p>
    <w:p>
      <w:pPr>
        <w:pStyle w:val="P1"/>
        <w:jc w:val="center"/>
        <w:rPr>
          <w:b w:val="1"/>
          <w:sz w:val="22"/>
        </w:rPr>
      </w:pPr>
    </w:p>
    <w:p>
      <w:pPr>
        <w:pStyle w:val="P1"/>
        <w:jc w:val="center"/>
        <w:rPr>
          <w:sz w:val="22"/>
        </w:rPr>
      </w:pPr>
      <w:r>
        <w:rPr>
          <w:b w:val="1"/>
          <w:sz w:val="22"/>
        </w:rPr>
        <w:t xml:space="preserve">BURMISTRZ MIASTA I GMINY GÓRZNO </w:t>
      </w:r>
    </w:p>
    <w:p>
      <w:pPr>
        <w:pStyle w:val="P1"/>
        <w:jc w:val="center"/>
        <w:rPr>
          <w:sz w:val="23"/>
        </w:rPr>
      </w:pPr>
      <w:r>
        <w:rPr>
          <w:b w:val="1"/>
          <w:sz w:val="22"/>
        </w:rPr>
        <w:t xml:space="preserve">ogłasza </w:t>
      </w:r>
      <w:r>
        <w:rPr>
          <w:b w:val="1"/>
          <w:sz w:val="22"/>
          <w:lang w:val="pl-PL" w:bidi="pl-PL" w:eastAsia="pl-PL"/>
        </w:rPr>
        <w:t>trzeci</w:t>
      </w:r>
      <w:r>
        <w:rPr>
          <w:b w:val="1"/>
          <w:sz w:val="22"/>
        </w:rPr>
        <w:t xml:space="preserve"> publiczny przetarg ustny nieograniczony na sprzedaż </w:t>
      </w:r>
      <w:r>
        <w:rPr>
          <w:b w:val="1"/>
          <w:sz w:val="23"/>
        </w:rPr>
        <w:t xml:space="preserve">używanego autobusu szkolnego marki Autosan </w:t>
      </w:r>
    </w:p>
    <w:p>
      <w:pPr>
        <w:pStyle w:val="P1"/>
        <w:rPr>
          <w:sz w:val="23"/>
        </w:rPr>
      </w:pPr>
      <w:r>
        <w:rPr>
          <w:b w:val="1"/>
          <w:sz w:val="23"/>
        </w:rPr>
        <w:t xml:space="preserve">I. Nazwa i siedziba jednostki: </w:t>
      </w:r>
    </w:p>
    <w:p>
      <w:pPr>
        <w:pStyle w:val="P1"/>
        <w:rPr>
          <w:sz w:val="23"/>
        </w:rPr>
      </w:pPr>
      <w:r>
        <w:rPr>
          <w:sz w:val="23"/>
        </w:rPr>
        <w:t xml:space="preserve">Miasto i Gmina Górzno, ul. Rynek 1, 87 – 320 Górzno </w:t>
      </w:r>
    </w:p>
    <w:p>
      <w:pPr>
        <w:pStyle w:val="P1"/>
        <w:rPr>
          <w:sz w:val="23"/>
        </w:rPr>
      </w:pPr>
      <w:r>
        <w:rPr>
          <w:b w:val="1"/>
          <w:sz w:val="23"/>
        </w:rPr>
        <w:t xml:space="preserve">II. </w:t>
      </w:r>
      <w:r>
        <w:rPr>
          <w:sz w:val="23"/>
        </w:rPr>
        <w:t xml:space="preserve">Przedmiot sprzedaży: </w:t>
      </w:r>
    </w:p>
    <w:p>
      <w:pPr>
        <w:pStyle w:val="P1"/>
        <w:rPr>
          <w:sz w:val="23"/>
        </w:rPr>
      </w:pPr>
      <w:r>
        <w:rPr>
          <w:sz w:val="23"/>
        </w:rPr>
        <w:t xml:space="preserve">Używany autobus szkolny marki Autosan Tramp, numer identyfikacyjny pojazdu –SUASW3RAP5S680543, rok produkcji 2005, </w:t>
      </w:r>
    </w:p>
    <w:p>
      <w:pPr>
        <w:pStyle w:val="P1"/>
        <w:rPr>
          <w:sz w:val="23"/>
        </w:rPr>
      </w:pPr>
      <w:r>
        <w:rPr>
          <w:sz w:val="23"/>
        </w:rPr>
        <w:t xml:space="preserve">- silnik 4116,00 cm3 / 128,00 kW, </w:t>
      </w:r>
    </w:p>
    <w:p>
      <w:pPr>
        <w:pStyle w:val="P1"/>
        <w:rPr>
          <w:sz w:val="23"/>
        </w:rPr>
      </w:pPr>
      <w:r>
        <w:rPr>
          <w:sz w:val="23"/>
        </w:rPr>
        <w:t xml:space="preserve">- dopuszczalna masa całkowita 12 500 kg, </w:t>
      </w:r>
    </w:p>
    <w:p>
      <w:pPr>
        <w:pStyle w:val="P1"/>
        <w:rPr>
          <w:sz w:val="23"/>
        </w:rPr>
      </w:pPr>
      <w:r>
        <w:rPr>
          <w:sz w:val="23"/>
        </w:rPr>
        <w:t xml:space="preserve">- masa własna 8 100 kg, </w:t>
      </w:r>
    </w:p>
    <w:p>
      <w:pPr>
        <w:pStyle w:val="P1"/>
        <w:rPr>
          <w:sz w:val="23"/>
        </w:rPr>
      </w:pPr>
      <w:r>
        <w:rPr>
          <w:sz w:val="23"/>
        </w:rPr>
        <w:t xml:space="preserve">- liczba miejsc – 39+1 siedzących, </w:t>
      </w:r>
    </w:p>
    <w:p>
      <w:pPr>
        <w:pStyle w:val="P1"/>
        <w:rPr>
          <w:sz w:val="23"/>
        </w:rPr>
      </w:pPr>
      <w:r>
        <w:rPr>
          <w:sz w:val="23"/>
        </w:rPr>
        <w:t xml:space="preserve">- przebieg: </w:t>
      </w:r>
      <w:r>
        <w:rPr>
          <w:sz w:val="23"/>
          <w:lang w:val="pl-PL" w:bidi="pl-PL" w:eastAsia="pl-PL"/>
        </w:rPr>
        <w:t>500</w:t>
      </w:r>
      <w:r>
        <w:rPr>
          <w:sz w:val="23"/>
        </w:rPr>
        <w:t xml:space="preserve"> </w:t>
      </w:r>
      <w:r>
        <w:rPr>
          <w:sz w:val="23"/>
          <w:lang w:val="pl-PL" w:bidi="pl-PL" w:eastAsia="pl-PL"/>
        </w:rPr>
        <w:t>772,30</w:t>
      </w:r>
      <w:r>
        <w:rPr>
          <w:sz w:val="23"/>
        </w:rPr>
        <w:t xml:space="preserve"> km, </w:t>
      </w:r>
    </w:p>
    <w:p>
      <w:pPr>
        <w:pStyle w:val="P1"/>
        <w:rPr>
          <w:sz w:val="23"/>
        </w:rPr>
      </w:pPr>
      <w:r>
        <w:rPr>
          <w:sz w:val="23"/>
        </w:rPr>
        <w:t xml:space="preserve">- aktualny przegląd techniczny; </w:t>
      </w:r>
    </w:p>
    <w:p>
      <w:pPr>
        <w:pStyle w:val="P1"/>
        <w:rPr>
          <w:sz w:val="23"/>
        </w:rPr>
      </w:pPr>
      <w:r>
        <w:rPr>
          <w:b w:val="1"/>
          <w:sz w:val="23"/>
        </w:rPr>
        <w:t xml:space="preserve">III. Cena wywoławcza </w:t>
      </w:r>
      <w:r>
        <w:rPr>
          <w:sz w:val="23"/>
        </w:rPr>
        <w:t xml:space="preserve">wynosi </w:t>
      </w:r>
      <w:r>
        <w:rPr>
          <w:sz w:val="23"/>
          <w:lang w:val="pl-PL" w:bidi="pl-PL" w:eastAsia="pl-PL"/>
        </w:rPr>
        <w:t>18</w:t>
      </w:r>
      <w:r>
        <w:rPr>
          <w:sz w:val="23"/>
        </w:rPr>
        <w:t xml:space="preserve">000,00 zł brutto. </w:t>
      </w:r>
    </w:p>
    <w:p>
      <w:pPr>
        <w:pStyle w:val="P1"/>
        <w:rPr>
          <w:sz w:val="23"/>
        </w:rPr>
      </w:pPr>
      <w:r>
        <w:rPr>
          <w:b w:val="1"/>
          <w:sz w:val="23"/>
        </w:rPr>
        <w:t xml:space="preserve">IV. Wysokość wadium oraz forma, termin jego wniesienia: </w:t>
      </w:r>
    </w:p>
    <w:p>
      <w:pPr>
        <w:pStyle w:val="P1"/>
        <w:jc w:val="both"/>
        <w:rPr>
          <w:sz w:val="22"/>
        </w:rPr>
      </w:pPr>
      <w:r>
        <w:rPr>
          <w:sz w:val="22"/>
        </w:rPr>
        <w:t xml:space="preserve">Warunkiem uczestniczenia w przetargu jest wpłacenie wadium w pieniądzu w wymaganym terminie </w:t>
      </w:r>
      <w:r>
        <w:rPr>
          <w:sz w:val="22"/>
          <w:lang w:val="pl-PL" w:bidi="pl-PL" w:eastAsia="pl-PL"/>
        </w:rPr>
        <w:br w:type="textWrapping"/>
      </w:r>
      <w:r>
        <w:rPr>
          <w:sz w:val="22"/>
        </w:rPr>
        <w:t xml:space="preserve">i wysokości. WADIUM w wysokości 10 % ceny wywoławczej – </w:t>
      </w:r>
      <w:r>
        <w:rPr>
          <w:sz w:val="22"/>
          <w:lang w:val="pl-PL" w:bidi="pl-PL" w:eastAsia="pl-PL"/>
        </w:rPr>
        <w:t>18</w:t>
      </w:r>
      <w:r>
        <w:rPr>
          <w:sz w:val="22"/>
        </w:rPr>
        <w:t xml:space="preserve">00,00 zł należy wpłacić na rachunek bankowy: Bank Spółdzielczy Brodnica/ Oddział Górzno </w:t>
      </w:r>
      <w:r>
        <w:rPr>
          <w:b w:val="1"/>
          <w:sz w:val="22"/>
        </w:rPr>
        <w:t xml:space="preserve">nr 78 9484 1150 2213 1300 1007 0005 </w:t>
      </w:r>
      <w:r>
        <w:rPr>
          <w:sz w:val="22"/>
        </w:rPr>
        <w:t xml:space="preserve">tytułem, </w:t>
      </w:r>
      <w:r>
        <w:rPr>
          <w:b w:val="1"/>
          <w:sz w:val="22"/>
        </w:rPr>
        <w:t>„I</w:t>
      </w:r>
      <w:r>
        <w:rPr>
          <w:b w:val="1"/>
          <w:sz w:val="22"/>
          <w:lang w:val="pl-PL" w:bidi="pl-PL" w:eastAsia="pl-PL"/>
        </w:rPr>
        <w:t>II</w:t>
      </w:r>
      <w:r>
        <w:rPr>
          <w:b w:val="1"/>
          <w:sz w:val="22"/>
        </w:rPr>
        <w:t xml:space="preserve"> przetarg – autobus szkolny”</w:t>
      </w:r>
      <w:r>
        <w:rPr>
          <w:sz w:val="22"/>
        </w:rPr>
        <w:t xml:space="preserve">. </w:t>
      </w:r>
    </w:p>
    <w:p>
      <w:pPr>
        <w:pStyle w:val="P1"/>
        <w:rPr>
          <w:sz w:val="22"/>
        </w:rPr>
      </w:pPr>
      <w:r>
        <w:rPr>
          <w:sz w:val="22"/>
        </w:rPr>
        <w:t xml:space="preserve">Wadium winno być uznane na rachunku </w:t>
      </w:r>
      <w:r>
        <w:rPr>
          <w:b w:val="1"/>
          <w:sz w:val="22"/>
        </w:rPr>
        <w:t xml:space="preserve">najpóźniej w dniu </w:t>
      </w:r>
      <w:r>
        <w:rPr>
          <w:b w:val="1"/>
          <w:sz w:val="22"/>
          <w:lang w:val="pl-PL" w:bidi="pl-PL" w:eastAsia="pl-PL"/>
        </w:rPr>
        <w:t>08</w:t>
      </w:r>
      <w:r>
        <w:rPr>
          <w:b w:val="1"/>
          <w:sz w:val="22"/>
        </w:rPr>
        <w:t>.</w:t>
      </w:r>
      <w:r>
        <w:rPr>
          <w:b w:val="1"/>
          <w:sz w:val="22"/>
          <w:lang w:val="pl-PL" w:bidi="pl-PL" w:eastAsia="pl-PL"/>
        </w:rPr>
        <w:t>12</w:t>
      </w:r>
      <w:r>
        <w:rPr>
          <w:b w:val="1"/>
          <w:sz w:val="22"/>
        </w:rPr>
        <w:t xml:space="preserve">.2025 r. </w:t>
      </w:r>
    </w:p>
    <w:p>
      <w:pPr>
        <w:pStyle w:val="P1"/>
        <w:jc w:val="both"/>
        <w:rPr>
          <w:sz w:val="22"/>
        </w:rPr>
      </w:pPr>
      <w:r>
        <w:rPr>
          <w:sz w:val="22"/>
        </w:rPr>
        <w:t xml:space="preserve">Wadium wpłacone przez uczestnika przetargu, który przetarg wygra zalicza się na poczet ceny nabycia. W przypadku uchylenia się od zawarcia umowy sprzedaży przez uczestnika, który przetarg wygrał w terminie określonym przez organizatora przetargu wadium przepada na rzecz Miasta </w:t>
      </w:r>
      <w:r>
        <w:rPr>
          <w:sz w:val="22"/>
          <w:lang w:val="pl-PL" w:bidi="pl-PL" w:eastAsia="pl-PL"/>
        </w:rPr>
        <w:br w:type="textWrapping"/>
      </w:r>
      <w:r>
        <w:rPr>
          <w:sz w:val="22"/>
        </w:rPr>
        <w:t xml:space="preserve">i Gminy Górzno. Uczestnikom przetargu, którzy nie zostaną nabywcami autobusu, wadium zostanie zwrócone, w terminie trzech dni od daty zamknięcia przetargu, w formie wskazanej w zgłoszeniu udziału w przetargu. </w:t>
      </w:r>
    </w:p>
    <w:p>
      <w:pPr>
        <w:pStyle w:val="P1"/>
        <w:rPr>
          <w:sz w:val="23"/>
        </w:rPr>
      </w:pPr>
      <w:r>
        <w:rPr>
          <w:b w:val="1"/>
          <w:sz w:val="23"/>
        </w:rPr>
        <w:t xml:space="preserve">V. Miejsce i termin, w którym można obejrzeć przedmiot sprzedaży </w:t>
      </w:r>
    </w:p>
    <w:p>
      <w:pPr>
        <w:pStyle w:val="P1"/>
        <w:rPr>
          <w:sz w:val="23"/>
        </w:rPr>
      </w:pPr>
      <w:r>
        <w:rPr>
          <w:sz w:val="23"/>
        </w:rPr>
        <w:t xml:space="preserve">Przedmiot sprzedaży można obejrzeć pod adresem: ul. Nowe Osiedle 53, 87-320 Górzno, po wcześniejszym umówieniu się telefonicznie pod numerem telefonu: (56) 6448364, w godzinach pracy Urzędu Miasta i Gminy Górzno. </w:t>
      </w:r>
    </w:p>
    <w:p>
      <w:pPr>
        <w:pStyle w:val="P1"/>
        <w:rPr>
          <w:sz w:val="23"/>
        </w:rPr>
      </w:pPr>
      <w:r>
        <w:rPr>
          <w:b w:val="1"/>
          <w:sz w:val="23"/>
        </w:rPr>
        <w:t xml:space="preserve">VI. Miejsce i termin przeprowadzenia przetargu </w:t>
      </w:r>
    </w:p>
    <w:p>
      <w:pPr>
        <w:pStyle w:val="P1"/>
      </w:pPr>
      <w:r>
        <w:rPr>
          <w:sz w:val="23"/>
        </w:rPr>
        <w:t xml:space="preserve">Przetarg odbędzie się w dniu </w:t>
      </w:r>
      <w:r>
        <w:rPr>
          <w:lang w:val="pl-PL" w:bidi="pl-PL" w:eastAsia="pl-PL"/>
        </w:rPr>
        <w:t>09</w:t>
      </w:r>
      <w:r>
        <w:t>.1</w:t>
      </w:r>
      <w:r>
        <w:rPr>
          <w:lang w:val="pl-PL" w:bidi="pl-PL" w:eastAsia="pl-PL"/>
        </w:rPr>
        <w:t>2</w:t>
      </w:r>
      <w:r>
        <w:t>.2025 r. o godz. 10</w:t>
      </w:r>
      <w:r>
        <w:rPr>
          <w:vertAlign w:val="superscript"/>
        </w:rPr>
        <w:t>00</w:t>
      </w:r>
      <w:r>
        <w:rPr>
          <w:b w:val="1"/>
          <w:sz w:val="23"/>
        </w:rPr>
        <w:t xml:space="preserve"> </w:t>
      </w:r>
      <w:r>
        <w:rPr>
          <w:sz w:val="23"/>
        </w:rPr>
        <w:t xml:space="preserve">w Urzędzie Miasta i Gminy Górzno, ul. Rynek 1, sala USC. </w:t>
      </w:r>
    </w:p>
    <w:p>
      <w:pPr>
        <w:pStyle w:val="P1"/>
        <w:jc w:val="both"/>
        <w:rPr>
          <w:sz w:val="22"/>
        </w:rPr>
      </w:pPr>
      <w:r>
        <w:rPr>
          <w:b w:val="1"/>
          <w:sz w:val="22"/>
          <w:lang w:val="pl-PL" w:bidi="pl-PL" w:eastAsia="pl-PL"/>
        </w:rPr>
        <w:t xml:space="preserve">VII. </w:t>
      </w:r>
      <w:r>
        <w:rPr>
          <w:b w:val="1"/>
          <w:sz w:val="22"/>
        </w:rPr>
        <w:t>Uczestnicy przetargu winni przed przystąpieniem do licytacji przedłożyć komisji</w:t>
      </w:r>
      <w:r>
        <w:rPr>
          <w:b w:val="1"/>
          <w:sz w:val="22"/>
          <w:lang w:val="pl-PL" w:bidi="pl-PL" w:eastAsia="pl-PL"/>
        </w:rPr>
        <w:t xml:space="preserve"> </w:t>
      </w:r>
      <w:r>
        <w:rPr>
          <w:b w:val="1"/>
          <w:sz w:val="22"/>
        </w:rPr>
        <w:t xml:space="preserve">przetargowej: </w:t>
      </w:r>
    </w:p>
    <w:p>
      <w:pPr>
        <w:pStyle w:val="P1"/>
        <w:jc w:val="both"/>
        <w:rPr>
          <w:sz w:val="22"/>
        </w:rPr>
      </w:pPr>
      <w:r>
        <w:rPr>
          <w:sz w:val="22"/>
          <w:lang w:val="pl-PL" w:bidi="pl-PL" w:eastAsia="pl-PL"/>
        </w:rPr>
        <w:t xml:space="preserve">- </w:t>
      </w:r>
      <w:r>
        <w:rPr>
          <w:sz w:val="22"/>
        </w:rPr>
        <w:t xml:space="preserve">dowód wpłaty wadium, </w:t>
      </w:r>
    </w:p>
    <w:p>
      <w:pPr>
        <w:pStyle w:val="P1"/>
        <w:jc w:val="both"/>
        <w:rPr>
          <w:sz w:val="22"/>
        </w:rPr>
      </w:pPr>
      <w:r>
        <w:rPr>
          <w:sz w:val="22"/>
          <w:lang w:val="pl-PL" w:bidi="pl-PL" w:eastAsia="pl-PL"/>
        </w:rPr>
        <w:t xml:space="preserve">- </w:t>
      </w:r>
      <w:r>
        <w:rPr>
          <w:sz w:val="22"/>
        </w:rPr>
        <w:t xml:space="preserve">oświadczenie, o zapoznaniu się ze stanem składnika rzeczowego majątku ruchomego będącego przedmiotem przetargu publicznego lub o poniesieniu odpowiedzialności za skutki wynikające z rezygnacji z zapoznania się ze stanem tego składnika oraz zapoznaniu się z regulaminem przetargu i warunkami umowy sprzedaży, </w:t>
      </w:r>
    </w:p>
    <w:p>
      <w:pPr>
        <w:pStyle w:val="P1"/>
        <w:rPr>
          <w:sz w:val="22"/>
        </w:rPr>
      </w:pPr>
      <w:r>
        <w:rPr>
          <w:sz w:val="22"/>
          <w:lang w:val="pl-PL" w:bidi="pl-PL" w:eastAsia="pl-PL"/>
        </w:rPr>
        <w:t xml:space="preserve">- </w:t>
      </w:r>
      <w:r>
        <w:rPr>
          <w:sz w:val="22"/>
        </w:rPr>
        <w:t xml:space="preserve">oświadczenie o wyrażeniu zgody na przetwarzanie danych osobowych przez Urząd Miasta i Gminy w Górznie w związku z przetargiem, </w:t>
      </w:r>
    </w:p>
    <w:p>
      <w:pPr>
        <w:pStyle w:val="P1"/>
        <w:rPr>
          <w:sz w:val="22"/>
        </w:rPr>
      </w:pPr>
      <w:r>
        <w:rPr>
          <w:b w:val="1"/>
          <w:sz w:val="22"/>
          <w:lang w:val="pl-PL" w:bidi="pl-PL" w:eastAsia="pl-PL"/>
        </w:rPr>
        <w:t xml:space="preserve">- </w:t>
      </w:r>
      <w:r>
        <w:rPr>
          <w:b w:val="1"/>
          <w:sz w:val="22"/>
        </w:rPr>
        <w:t xml:space="preserve">w przypadku osób fizycznych </w:t>
      </w:r>
      <w:r>
        <w:rPr>
          <w:sz w:val="22"/>
        </w:rPr>
        <w:t xml:space="preserve">– dowód tożsamości lub paszport, a w przypadku reprezentowania innej osoby, również notarialne pełnomocnictwo, </w:t>
      </w:r>
    </w:p>
    <w:p>
      <w:pPr>
        <w:pStyle w:val="P1"/>
        <w:rPr>
          <w:sz w:val="22"/>
        </w:rPr>
      </w:pPr>
      <w:r>
        <w:rPr>
          <w:b w:val="1"/>
          <w:sz w:val="22"/>
          <w:lang w:val="pl-PL" w:bidi="pl-PL" w:eastAsia="pl-PL"/>
        </w:rPr>
        <w:t xml:space="preserve">- </w:t>
      </w:r>
      <w:r>
        <w:rPr>
          <w:b w:val="1"/>
          <w:sz w:val="22"/>
        </w:rPr>
        <w:t xml:space="preserve">w przypadku przedsiębiorstw występujących wspólnie – m.in. spółki cywilne, konsorcja </w:t>
      </w:r>
      <w:r>
        <w:rPr>
          <w:sz w:val="22"/>
        </w:rPr>
        <w:t xml:space="preserve">– aktualne zaświadczenie o wpisie do ewidencji działalności gospodarczej, dowody tożsamości wspólników spółki, stosowne pełnomocnictwa, </w:t>
      </w:r>
    </w:p>
    <w:p>
      <w:pPr>
        <w:pStyle w:val="P1"/>
        <w:rPr>
          <w:sz w:val="22"/>
        </w:rPr>
      </w:pPr>
      <w:r>
        <w:rPr>
          <w:sz w:val="22"/>
          <w:lang w:val="pl-PL" w:bidi="pl-PL" w:eastAsia="pl-PL"/>
        </w:rPr>
        <w:t xml:space="preserve">- </w:t>
      </w:r>
      <w:r>
        <w:rPr>
          <w:b w:val="1"/>
          <w:sz w:val="22"/>
        </w:rPr>
        <w:t xml:space="preserve">w przypadku osób prawnych </w:t>
      </w:r>
      <w:r>
        <w:rPr>
          <w:sz w:val="22"/>
        </w:rPr>
        <w:t xml:space="preserve">– aktualny wypis z właściwego rejestru, stosowne pełnomocnictwa, dowody tożsamości osób reprezentujących podmiot, </w:t>
      </w:r>
    </w:p>
    <w:p>
      <w:pPr>
        <w:pStyle w:val="P1"/>
        <w:rPr>
          <w:b w:val="0"/>
          <w:sz w:val="22"/>
        </w:rPr>
      </w:pPr>
      <w:r>
        <w:rPr>
          <w:b w:val="0"/>
          <w:sz w:val="22"/>
          <w:lang w:val="pl-PL" w:bidi="pl-PL" w:eastAsia="pl-PL"/>
        </w:rPr>
        <w:t>- p</w:t>
      </w:r>
      <w:r>
        <w:rPr>
          <w:b w:val="0"/>
          <w:sz w:val="22"/>
        </w:rPr>
        <w:t xml:space="preserve">owyższe dokumenty winny być przedłożone w dniu przetargu. </w:t>
      </w:r>
    </w:p>
    <w:p>
      <w:pPr>
        <w:pStyle w:val="P1"/>
        <w:rPr>
          <w:sz w:val="22"/>
        </w:rPr>
      </w:pPr>
    </w:p>
    <w:p>
      <w:pPr>
        <w:pStyle w:val="P1"/>
        <w:rPr>
          <w:sz w:val="22"/>
        </w:rPr>
      </w:pPr>
      <w:r>
        <w:rPr>
          <w:b w:val="1"/>
          <w:sz w:val="22"/>
          <w:lang w:val="pl-PL" w:bidi="pl-PL" w:eastAsia="pl-PL"/>
        </w:rPr>
        <w:t xml:space="preserve">VIII. </w:t>
      </w:r>
      <w:r>
        <w:rPr>
          <w:b w:val="1"/>
          <w:sz w:val="22"/>
        </w:rPr>
        <w:t xml:space="preserve">Dodatkowe informacje: </w:t>
      </w:r>
    </w:p>
    <w:p>
      <w:pPr>
        <w:pStyle w:val="P1"/>
        <w:jc w:val="both"/>
        <w:rPr>
          <w:sz w:val="23"/>
        </w:rPr>
      </w:pPr>
      <w:r>
        <w:rPr>
          <w:b w:val="1"/>
          <w:sz w:val="22"/>
        </w:rPr>
        <w:t xml:space="preserve">Przetarg jest ważny bez względu na liczbę uczestników, jeżeli przynajmniej jeden uczestnik zaoferował, co najmniej jedno postąpienie powyżej ceny wywoławczej. </w:t>
      </w:r>
      <w:r>
        <w:rPr>
          <w:sz w:val="23"/>
        </w:rPr>
        <w:t>Minimalne postąpienie wynosi 2</w:t>
      </w:r>
      <w:r>
        <w:rPr>
          <w:sz w:val="23"/>
          <w:lang w:val="pl-PL" w:bidi="pl-PL" w:eastAsia="pl-PL"/>
        </w:rPr>
        <w:t>00</w:t>
      </w:r>
      <w:r>
        <w:rPr>
          <w:sz w:val="23"/>
        </w:rPr>
        <w:t xml:space="preserve">,00 zł. </w:t>
      </w:r>
    </w:p>
    <w:p>
      <w:pPr>
        <w:pStyle w:val="P1"/>
        <w:jc w:val="both"/>
        <w:rPr>
          <w:sz w:val="22"/>
        </w:rPr>
      </w:pPr>
      <w:r>
        <w:rPr>
          <w:sz w:val="22"/>
        </w:rPr>
        <w:t xml:space="preserve">Nabywca odpowiada za samodzielne zapoznanie się ze stanem prawnym i faktycznym ruchomości. </w:t>
      </w:r>
    </w:p>
    <w:p>
      <w:pPr>
        <w:pStyle w:val="P1"/>
        <w:jc w:val="both"/>
        <w:rPr>
          <w:color w:val="101010"/>
          <w:sz w:val="22"/>
        </w:rPr>
      </w:pPr>
      <w:r>
        <w:rPr>
          <w:color w:val="101010"/>
          <w:sz w:val="22"/>
        </w:rPr>
        <w:t xml:space="preserve">Jeżeli nabywca ruchomości nie przystąpi do zawarcia umowy w ustalonym miejscu i terminie, Miasto i Gmina Górzno może odstąpić od zawarcia umowy. </w:t>
      </w:r>
    </w:p>
    <w:p>
      <w:pPr>
        <w:pStyle w:val="P1"/>
        <w:jc w:val="both"/>
        <w:rPr>
          <w:sz w:val="22"/>
        </w:rPr>
      </w:pPr>
      <w:r>
        <w:rPr>
          <w:sz w:val="22"/>
        </w:rPr>
        <w:t xml:space="preserve">Umowa sprzedaży zawarta zostanie w terminie do 3 dni od dnia zamknięcia przetargu. Nabywca, który wygrał przetarg zobowiązany jest do zapłaty ceny nabycia, pomniejszonej o wpłacone wadium w terminie do 3 dni od zamknięcia przetargu na rachunek bankowy: Bank Spółdzielczy Brodnica/ Oddział Górzno </w:t>
      </w:r>
      <w:r>
        <w:rPr>
          <w:b w:val="1"/>
          <w:sz w:val="22"/>
        </w:rPr>
        <w:t>nr 89 9484 1150 2213 1300 1007 0001</w:t>
      </w:r>
      <w:r>
        <w:rPr>
          <w:sz w:val="22"/>
        </w:rPr>
        <w:t xml:space="preserve">. </w:t>
      </w:r>
    </w:p>
    <w:p>
      <w:pPr>
        <w:pStyle w:val="P1"/>
        <w:jc w:val="both"/>
        <w:rPr>
          <w:sz w:val="22"/>
        </w:rPr>
      </w:pPr>
      <w:r>
        <w:rPr>
          <w:sz w:val="22"/>
        </w:rPr>
        <w:t xml:space="preserve">Wydanie autobusu nabywcy nastąpi niezwłocznie po podpisaniu umowy i zapłaceniu ceny nabycia. </w:t>
      </w:r>
    </w:p>
    <w:p>
      <w:pPr>
        <w:pStyle w:val="P1"/>
        <w:rPr>
          <w:sz w:val="22"/>
        </w:rPr>
      </w:pPr>
    </w:p>
    <w:p>
      <w:pPr>
        <w:pStyle w:val="P1"/>
        <w:rPr>
          <w:b w:val="1"/>
          <w:sz w:val="22"/>
        </w:rPr>
      </w:pPr>
      <w:r>
        <w:rPr>
          <w:b w:val="1"/>
          <w:sz w:val="22"/>
        </w:rPr>
        <w:t xml:space="preserve">Burmistrz Miasta i Gminy Górzno zastrzega się prawo odwołania przetargu. </w:t>
      </w:r>
    </w:p>
    <w:p>
      <w:pPr>
        <w:pStyle w:val="P1"/>
        <w:rPr>
          <w:sz w:val="22"/>
        </w:rPr>
      </w:pPr>
    </w:p>
    <w:p>
      <w:pPr>
        <w:pStyle w:val="P1"/>
        <w:jc w:val="both"/>
        <w:rPr>
          <w:sz w:val="22"/>
        </w:rPr>
      </w:pPr>
      <w:r>
        <w:rPr>
          <w:sz w:val="22"/>
        </w:rPr>
        <w:t xml:space="preserve">Udział w postępowaniu przetargowym wiąże się z przetwarzaniem danych osobowych oferentów na zasadach określonych w Rozporządzeniu Parlamentu Europejskiego i Rady Europy (UE) 2016/679 z dnia 27 kwietnia 2016 r. w sprawie ochrony osób fizycznych w związku z przetwarzaniem danych osobowych i w sprawie swobodnego przepływu takich danych oraz uchylenia dyrektywy 95/46/WE z dnia 27 kwietnia 2016 r. zwane ogólnym rozporządzeniem o ochronie danych osobowych (Dz. Urz. UE L 119/1 z 04.05.2016 r.). </w:t>
      </w:r>
    </w:p>
    <w:p>
      <w:pPr>
        <w:pStyle w:val="P1"/>
        <w:jc w:val="both"/>
      </w:pPr>
      <w:r>
        <w:rPr>
          <w:sz w:val="22"/>
        </w:rPr>
        <w:t xml:space="preserve">Szczegółowych informacji dotyczących przetargu można uzyskać w Urzędzie Miasta i Gminy Górzno lub pod numerem tel.(56)6448364 w godzinach pracy Urzędu. </w:t>
      </w:r>
    </w:p>
    <w:p/>
    <w:p/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00CDBF2"/>
    <w:multiLevelType w:val="hybridMultilevel"/>
    <w:lvl w:ilvl="0" w:tplc="6942F89A">
      <w:start w:val="1"/>
      <w:numFmt w:val="upperRoman"/>
      <w:suff w:val="tab"/>
      <w:lvlText w:val="%1."/>
      <w:lvlJc w:val="left"/>
      <w:pPr/>
      <w:rPr/>
    </w:lvl>
    <w:lvl w:ilvl="1" w:tplc="762CC9F9">
      <w:start w:val="1"/>
      <w:numFmt w:val="decimal"/>
      <w:suff w:val="tab"/>
      <w:lvlText w:val="%1."/>
      <w:lvlJc w:val="left"/>
      <w:pPr/>
      <w:rPr/>
    </w:lvl>
    <w:lvl w:ilvl="2" w:tplc="40CD801F">
      <w:start w:val="1"/>
      <w:numFmt w:val="decimal"/>
      <w:suff w:val="tab"/>
      <w:lvlText w:val="%1."/>
      <w:lvlJc w:val="left"/>
      <w:pPr/>
      <w:rPr/>
    </w:lvl>
    <w:lvl w:ilvl="3" w:tplc="49F2A305">
      <w:start w:val="1"/>
      <w:numFmt w:val="decimal"/>
      <w:suff w:val="tab"/>
      <w:lvlText w:val="%1."/>
      <w:lvlJc w:val="left"/>
      <w:pPr/>
      <w:rPr/>
    </w:lvl>
    <w:lvl w:ilvl="4" w:tplc="73B40280">
      <w:start w:val="1"/>
      <w:numFmt w:val="decimal"/>
      <w:suff w:val="tab"/>
      <w:lvlText w:val="%1."/>
      <w:lvlJc w:val="left"/>
      <w:pPr/>
      <w:rPr/>
    </w:lvl>
    <w:lvl w:ilvl="5" w:tplc="6F112CBC">
      <w:start w:val="1"/>
      <w:numFmt w:val="decimal"/>
      <w:suff w:val="tab"/>
      <w:lvlText w:val="%1."/>
      <w:lvlJc w:val="left"/>
      <w:pPr/>
      <w:rPr/>
    </w:lvl>
    <w:lvl w:ilvl="6" w:tplc="0056DF87">
      <w:start w:val="1"/>
      <w:numFmt w:val="decimal"/>
      <w:suff w:val="tab"/>
      <w:lvlText w:val="%1."/>
      <w:lvlJc w:val="left"/>
      <w:pPr/>
      <w:rPr/>
    </w:lvl>
    <w:lvl w:ilvl="7" w:tplc="3465F7CF">
      <w:start w:val="1"/>
      <w:numFmt w:val="decimal"/>
      <w:suff w:val="tab"/>
      <w:lvlText w:val="%1."/>
      <w:lvlJc w:val="left"/>
      <w:pPr/>
      <w:rPr/>
    </w:lvl>
    <w:lvl w:ilvl="8" w:tplc="44A7AFBF">
      <w:start w:val="1"/>
      <w:numFmt w:val="decimal"/>
      <w:suff w:val="tab"/>
      <w:lvlText w:val="%1."/>
      <w:lvlJc w:val="left"/>
      <w:pPr/>
      <w:rPr/>
    </w:lvl>
  </w:abstractNum>
  <w:abstractNum w:abstractNumId="1">
    <w:nsid w:val="00000000"/>
    <w:multiLevelType w:val="hybridMultilevel"/>
    <w:lvl w:ilvl="0" w:tplc="5D57D9E0">
      <w:start w:val="1"/>
      <w:numFmt w:val="upperRoman"/>
      <w:suff w:val="tab"/>
      <w:lvlText w:val="%1."/>
      <w:lvlJc w:val="left"/>
      <w:pPr/>
      <w:rPr/>
    </w:lvl>
    <w:lvl w:ilvl="1" w:tplc="69EA3327">
      <w:start w:val="1"/>
      <w:numFmt w:val="decimal"/>
      <w:suff w:val="tab"/>
      <w:lvlText w:val="%1."/>
      <w:lvlJc w:val="left"/>
      <w:pPr/>
      <w:rPr/>
    </w:lvl>
    <w:lvl w:ilvl="2" w:tplc="2FFB03D8">
      <w:start w:val="1"/>
      <w:numFmt w:val="decimal"/>
      <w:suff w:val="tab"/>
      <w:lvlText w:val="%1."/>
      <w:lvlJc w:val="left"/>
      <w:pPr/>
      <w:rPr/>
    </w:lvl>
    <w:lvl w:ilvl="3" w:tplc="5A9A521C">
      <w:start w:val="1"/>
      <w:numFmt w:val="decimal"/>
      <w:suff w:val="tab"/>
      <w:lvlText w:val="%1."/>
      <w:lvlJc w:val="left"/>
      <w:pPr/>
      <w:rPr/>
    </w:lvl>
    <w:lvl w:ilvl="4" w:tplc="25453922">
      <w:start w:val="1"/>
      <w:numFmt w:val="decimal"/>
      <w:suff w:val="tab"/>
      <w:lvlText w:val="%1."/>
      <w:lvlJc w:val="left"/>
      <w:pPr/>
      <w:rPr/>
    </w:lvl>
    <w:lvl w:ilvl="5" w:tplc="3C0D793F">
      <w:start w:val="1"/>
      <w:numFmt w:val="decimal"/>
      <w:suff w:val="tab"/>
      <w:lvlText w:val="%1."/>
      <w:lvlJc w:val="left"/>
      <w:pPr/>
      <w:rPr/>
    </w:lvl>
    <w:lvl w:ilvl="6" w:tplc="0B8099E7">
      <w:start w:val="1"/>
      <w:numFmt w:val="decimal"/>
      <w:suff w:val="tab"/>
      <w:lvlText w:val="%1."/>
      <w:lvlJc w:val="left"/>
      <w:pPr/>
      <w:rPr/>
    </w:lvl>
    <w:lvl w:ilvl="7" w:tplc="6BC618D2">
      <w:start w:val="1"/>
      <w:numFmt w:val="decimal"/>
      <w:suff w:val="tab"/>
      <w:lvlText w:val="%1."/>
      <w:lvlJc w:val="left"/>
      <w:pPr/>
      <w:rPr/>
    </w:lvl>
    <w:lvl w:ilvl="8" w:tplc="1831C27F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Default"/>
    <w:next w:val="P1"/>
    <w:pPr>
      <w:jc w:val="left"/>
    </w:pPr>
    <w:rPr>
      <w:color w:val="000000"/>
      <w:sz w:val="24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Krajnik Anna</dc:creator>
  <dcterms:created xsi:type="dcterms:W3CDTF">2025-10-31T07:36:46Z</dcterms:created>
  <cp:lastModifiedBy>Anna Krajnik</cp:lastModifiedBy>
  <dcterms:modified xsi:type="dcterms:W3CDTF">2025-11-28T08:10:08Z</dcterms:modified>
  <cp:revision>27</cp:revision>
</cp:coreProperties>
</file>