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0643E5" Type="http://schemas.openxmlformats.org/officeDocument/2006/relationships/officeDocument" Target="/word/document.xml" /><Relationship Id="coreR2F0643E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15 ust. 7 ustawy o finansach publicznych, samorządowy zakład budżetowy wpłaca do budżetu jednostki samorządu terytorialnego nadwyżkę środków obrotowych, ustaloną na koniec okresu sprawozdawczego. W przypadku Zakładu Usług Komunalnych w Górznie wygospodarowane środki przeznaczone zostaną na realizację zadań inwestycyjnych oraz zakup materiałów do bieżącej działalności Zakładu i byłoby zasadne odstąpienie od wpłaty nadwyżki do budżetu Miasta i Gminy Górzno.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2025-12-30T09:24:27Z</dcterms:created>
  <cp:lastModifiedBy>JaroszewskaM</cp:lastModifiedBy>
  <dcterms:modified xsi:type="dcterms:W3CDTF">2025-12-30T12:48:24Z</dcterms:modified>
  <cp:revision>3</cp:revision>
  <dc:subject>w sprawie zwolnienia samorządowego zakładu budżetowego – Zakładu Usług Komunalnych w Górznie z obowiązku wpłaty nadwyżki środków obrotowych do budżetu Miasta i Gminy Górzno</dc:subject>
  <dc:title>Uchwała nr  XX/133/2025 z dnia 29 grudnia 2025 r.</dc:title>
</cp:coreProperties>
</file>